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leftChars="0" w:firstLine="0" w:firstLineChars="0"/>
        <w:jc w:val="center"/>
        <w:rPr>
          <w:rFonts w:hint="eastAsia" w:cs="Times New Roman"/>
          <w:b/>
          <w:color w:val="000000"/>
          <w:sz w:val="48"/>
          <w:szCs w:val="48"/>
          <w:lang w:val="en-US" w:eastAsia="zh-CN"/>
        </w:rPr>
      </w:pPr>
    </w:p>
    <w:p>
      <w:pPr>
        <w:spacing w:line="360" w:lineRule="auto"/>
        <w:ind w:left="0" w:leftChars="0" w:firstLine="0" w:firstLineChars="0"/>
        <w:jc w:val="center"/>
        <w:rPr>
          <w:rFonts w:hint="eastAsia" w:cs="Times New Roman"/>
          <w:b/>
          <w:color w:val="000000"/>
          <w:sz w:val="48"/>
          <w:szCs w:val="48"/>
          <w:lang w:val="en-US" w:eastAsia="zh-CN"/>
        </w:rPr>
      </w:pPr>
    </w:p>
    <w:p>
      <w:pPr>
        <w:spacing w:line="360" w:lineRule="auto"/>
        <w:ind w:left="0" w:leftChars="0" w:firstLine="0" w:firstLineChars="0"/>
        <w:jc w:val="center"/>
        <w:rPr>
          <w:rFonts w:hint="default" w:ascii="Times New Roman" w:hAnsi="Times New Roman" w:eastAsia="宋体" w:cs="Times New Roman"/>
          <w:lang w:val="en-US" w:eastAsia="zh-CN"/>
        </w:rPr>
      </w:pPr>
      <w:r>
        <w:rPr>
          <w:rFonts w:hint="eastAsia" w:cs="Times New Roman"/>
          <w:b/>
          <w:color w:val="000000"/>
          <w:sz w:val="48"/>
          <w:szCs w:val="48"/>
          <w:lang w:val="en-US" w:eastAsia="zh-CN"/>
        </w:rPr>
        <w:t>土壤污染隐患排查报告</w:t>
      </w:r>
    </w:p>
    <w:p>
      <w:pPr>
        <w:spacing w:line="360" w:lineRule="auto"/>
        <w:ind w:left="0" w:leftChars="0" w:firstLine="0" w:firstLineChars="0"/>
        <w:jc w:val="center"/>
        <w:rPr>
          <w:rFonts w:hint="default" w:ascii="Times New Roman" w:hAnsi="Times New Roman" w:eastAsia="宋体" w:cs="Times New Roman"/>
          <w:b/>
          <w:color w:val="000000"/>
          <w:sz w:val="48"/>
          <w:szCs w:val="48"/>
          <w:lang w:val="en-US" w:eastAsia="zh-CN"/>
        </w:rPr>
      </w:pPr>
      <w:r>
        <w:rPr>
          <w:rFonts w:hint="eastAsia" w:ascii="Times New Roman" w:hAnsi="Times New Roman" w:eastAsia="宋体" w:cs="Times New Roman"/>
          <w:b/>
          <w:color w:val="000000"/>
          <w:sz w:val="48"/>
          <w:szCs w:val="48"/>
          <w:lang w:val="en-US" w:eastAsia="zh-CN"/>
        </w:rPr>
        <w:t>（2021年度）</w:t>
      </w: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rPr>
          <w:rFonts w:hint="default" w:ascii="Times New Roman" w:hAnsi="Times New Roman" w:eastAsia="宋体" w:cs="Times New Roman"/>
          <w:lang w:eastAsia="zh-CN"/>
        </w:rPr>
      </w:pPr>
    </w:p>
    <w:p>
      <w:pPr>
        <w:pStyle w:val="27"/>
        <w:jc w:val="both"/>
        <w:rPr>
          <w:rFonts w:hint="eastAsia" w:ascii="Times New Roman" w:hAnsi="Times New Roman" w:cs="Times New Roman"/>
          <w:color w:val="000000"/>
          <w:sz w:val="28"/>
          <w:szCs w:val="28"/>
          <w:u w:val="none"/>
          <w:lang w:val="en-US" w:eastAsia="zh-CN"/>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before="313" w:beforeLines="100" w:after="200" w:line="240" w:lineRule="auto"/>
        <w:jc w:val="center"/>
        <w:textAlignment w:val="auto"/>
        <w:rPr>
          <w:rFonts w:hint="eastAsia" w:ascii="Times New Roman" w:hAnsi="Times New Roman" w:eastAsia="仿宋" w:cs="Times New Roman"/>
          <w:b w:val="0"/>
          <w:bCs w:val="0"/>
          <w:color w:val="auto"/>
          <w:sz w:val="30"/>
          <w:szCs w:val="30"/>
          <w:lang w:eastAsia="zh-CN"/>
        </w:rPr>
      </w:pPr>
      <w:bookmarkStart w:id="0" w:name="_Toc31463"/>
      <w:bookmarkStart w:id="1" w:name="_Toc14696"/>
      <w:bookmarkStart w:id="2" w:name="_Toc13934"/>
      <w:r>
        <w:rPr>
          <w:rFonts w:hint="eastAsia" w:ascii="Times New Roman" w:hAnsi="Times New Roman" w:eastAsia="仿宋" w:cs="Times New Roman"/>
          <w:b w:val="0"/>
          <w:bCs w:val="0"/>
          <w:color w:val="auto"/>
          <w:sz w:val="30"/>
          <w:szCs w:val="30"/>
          <w:lang w:eastAsia="zh-CN"/>
        </w:rPr>
        <w:t>岳阳市云溪区云兴矿业有限公司</w:t>
      </w:r>
      <w:bookmarkEnd w:id="0"/>
      <w:bookmarkEnd w:id="1"/>
      <w:bookmarkEnd w:id="2"/>
    </w:p>
    <w:p>
      <w:pPr>
        <w:pStyle w:val="3"/>
        <w:keepNext w:val="0"/>
        <w:keepLines w:val="0"/>
        <w:pageBreakBefore w:val="0"/>
        <w:widowControl w:val="0"/>
        <w:numPr>
          <w:ilvl w:val="0"/>
          <w:numId w:val="0"/>
        </w:numPr>
        <w:kinsoku/>
        <w:wordWrap/>
        <w:overflowPunct/>
        <w:topLinePunct w:val="0"/>
        <w:autoSpaceDE/>
        <w:autoSpaceDN/>
        <w:bidi w:val="0"/>
        <w:adjustRightInd/>
        <w:snapToGrid/>
        <w:spacing w:before="313" w:beforeLines="100" w:after="200" w:line="240" w:lineRule="auto"/>
        <w:jc w:val="center"/>
        <w:textAlignment w:val="auto"/>
        <w:rPr>
          <w:rFonts w:hint="default" w:ascii="Times New Roman" w:hAnsi="Times New Roman" w:eastAsia="仿宋" w:cs="Times New Roman"/>
          <w:b w:val="0"/>
          <w:bCs w:val="0"/>
          <w:color w:val="auto"/>
          <w:sz w:val="30"/>
          <w:szCs w:val="30"/>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bookmarkStart w:id="3" w:name="_Toc17944"/>
      <w:bookmarkStart w:id="4" w:name="_Toc28868"/>
      <w:bookmarkStart w:id="5" w:name="_Toc4842"/>
      <w:r>
        <w:rPr>
          <w:rFonts w:hint="eastAsia" w:ascii="Times New Roman" w:hAnsi="Times New Roman" w:eastAsia="仿宋" w:cs="Times New Roman"/>
          <w:b w:val="0"/>
          <w:bCs w:val="0"/>
          <w:color w:val="auto"/>
          <w:sz w:val="30"/>
          <w:szCs w:val="30"/>
          <w:lang w:val="en-US" w:eastAsia="zh-CN"/>
        </w:rPr>
        <w:t>2021年11月</w:t>
      </w:r>
      <w:bookmarkEnd w:id="3"/>
      <w:bookmarkEnd w:id="4"/>
      <w:bookmarkEnd w:id="5"/>
    </w:p>
    <w:sdt>
      <w:sdtPr>
        <w:rPr>
          <w:rFonts w:hint="default" w:ascii="Times New Roman" w:hAnsi="Times New Roman" w:eastAsia="仿宋" w:cs="Times New Roman"/>
          <w:b/>
          <w:bCs/>
          <w:color w:val="auto"/>
          <w:kern w:val="2"/>
          <w:sz w:val="32"/>
          <w:szCs w:val="36"/>
          <w:lang w:val="en-US" w:eastAsia="zh-CN" w:bidi="ar-SA"/>
        </w:rPr>
        <w:id w:val="147481125"/>
        <w15:color w:val="DBDBDB"/>
        <w:docPartObj>
          <w:docPartGallery w:val="Table of Contents"/>
          <w:docPartUnique/>
        </w:docPartObj>
      </w:sdtPr>
      <w:sdtEndPr>
        <w:rPr>
          <w:rFonts w:hint="default" w:ascii="Times New Roman" w:hAnsi="Times New Roman" w:eastAsia="仿宋" w:cs="Times New Roman"/>
          <w:b/>
          <w:bCs/>
          <w:color w:val="auto"/>
          <w:kern w:val="2"/>
          <w:sz w:val="24"/>
          <w:szCs w:val="22"/>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eastAsia="仿宋" w:cs="Times New Roman"/>
              <w:b/>
              <w:bCs/>
              <w:color w:val="auto"/>
              <w:sz w:val="40"/>
              <w:szCs w:val="36"/>
            </w:rPr>
          </w:pPr>
          <w:r>
            <w:rPr>
              <w:rFonts w:hint="default" w:ascii="Times New Roman" w:hAnsi="Times New Roman" w:eastAsia="仿宋" w:cs="Times New Roman"/>
              <w:b/>
              <w:bCs/>
              <w:color w:val="auto"/>
              <w:sz w:val="32"/>
              <w:szCs w:val="36"/>
            </w:rPr>
            <w:t>目</w:t>
          </w:r>
          <w:r>
            <w:rPr>
              <w:rFonts w:hint="default" w:ascii="Times New Roman" w:hAnsi="Times New Roman" w:eastAsia="仿宋" w:cs="Times New Roman"/>
              <w:b/>
              <w:bCs/>
              <w:color w:val="auto"/>
              <w:sz w:val="32"/>
              <w:szCs w:val="36"/>
              <w:lang w:val="en-US" w:eastAsia="zh-CN"/>
            </w:rPr>
            <w:t xml:space="preserve">  </w:t>
          </w:r>
          <w:r>
            <w:rPr>
              <w:rFonts w:hint="default" w:ascii="Times New Roman" w:hAnsi="Times New Roman" w:eastAsia="仿宋" w:cs="Times New Roman"/>
              <w:b/>
              <w:bCs/>
              <w:color w:val="auto"/>
              <w:sz w:val="32"/>
              <w:szCs w:val="36"/>
            </w:rPr>
            <w:t>录</w:t>
          </w:r>
        </w:p>
        <w:p>
          <w:pPr>
            <w:pStyle w:val="11"/>
            <w:tabs>
              <w:tab w:val="right" w:leader="dot" w:pos="8306"/>
            </w:tabs>
          </w:pPr>
          <w:r>
            <w:rPr>
              <w:rFonts w:hint="default" w:ascii="Times New Roman" w:hAnsi="Times New Roman" w:eastAsia="仿宋" w:cs="Times New Roman"/>
              <w:color w:val="auto"/>
              <w:sz w:val="24"/>
              <w:szCs w:val="24"/>
              <w:lang w:val="en-US" w:eastAsia="zh-CN"/>
            </w:rPr>
            <w:fldChar w:fldCharType="begin"/>
          </w:r>
          <w:r>
            <w:rPr>
              <w:rFonts w:hint="default" w:ascii="Times New Roman" w:hAnsi="Times New Roman" w:eastAsia="仿宋" w:cs="Times New Roman"/>
              <w:color w:val="auto"/>
              <w:sz w:val="24"/>
              <w:szCs w:val="24"/>
              <w:lang w:val="en-US" w:eastAsia="zh-CN"/>
            </w:rPr>
            <w:instrText xml:space="preserve">TOC \o "1-1" \h \u </w:instrText>
          </w:r>
          <w:r>
            <w:rPr>
              <w:rFonts w:hint="default" w:ascii="Times New Roman" w:hAnsi="Times New Roman" w:eastAsia="仿宋" w:cs="Times New Roman"/>
              <w:color w:val="auto"/>
              <w:sz w:val="24"/>
              <w:szCs w:val="24"/>
              <w:lang w:val="en-US" w:eastAsia="zh-CN"/>
            </w:rPr>
            <w:fldChar w:fldCharType="separate"/>
          </w: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_Toc1103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1总论</w:t>
          </w:r>
          <w:r>
            <w:tab/>
          </w:r>
          <w:r>
            <w:fldChar w:fldCharType="begin"/>
          </w:r>
          <w:r>
            <w:instrText xml:space="preserve"> PAGEREF _Toc1103 \h </w:instrText>
          </w:r>
          <w:r>
            <w:fldChar w:fldCharType="separate"/>
          </w:r>
          <w:r>
            <w:t>- 1 -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_Toc7481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1.1 编制背景</w:t>
          </w:r>
          <w:r>
            <w:tab/>
          </w:r>
          <w:r>
            <w:fldChar w:fldCharType="begin"/>
          </w:r>
          <w:r>
            <w:instrText xml:space="preserve"> PAGEREF _Toc7481 \h </w:instrText>
          </w:r>
          <w:r>
            <w:fldChar w:fldCharType="separate"/>
          </w:r>
          <w:r>
            <w:t>- 1 -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_Toc17999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1.2排查目的和原则</w:t>
          </w:r>
          <w:r>
            <w:tab/>
          </w:r>
          <w:r>
            <w:fldChar w:fldCharType="begin"/>
          </w:r>
          <w:r>
            <w:instrText xml:space="preserve"> PAGEREF _Toc17999 \h </w:instrText>
          </w:r>
          <w:r>
            <w:fldChar w:fldCharType="separate"/>
          </w:r>
          <w:r>
            <w:t>- 3 -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_Toc25659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1.3排查范围</w:t>
          </w:r>
          <w:r>
            <w:tab/>
          </w:r>
          <w:r>
            <w:fldChar w:fldCharType="begin"/>
          </w:r>
          <w:r>
            <w:instrText xml:space="preserve"> PAGEREF _Toc25659 \h </w:instrText>
          </w:r>
          <w:r>
            <w:fldChar w:fldCharType="separate"/>
          </w:r>
          <w:r>
            <w:t>- 4 -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_Toc8409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1.4编制依据</w:t>
          </w:r>
          <w:r>
            <w:tab/>
          </w:r>
          <w:r>
            <w:fldChar w:fldCharType="begin"/>
          </w:r>
          <w:r>
            <w:instrText xml:space="preserve"> PAGEREF _Toc8409 \h </w:instrText>
          </w:r>
          <w:r>
            <w:fldChar w:fldCharType="separate"/>
          </w:r>
          <w:r>
            <w:t>- 5 -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_Toc16909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2企业概况</w:t>
          </w:r>
          <w:r>
            <w:tab/>
          </w:r>
          <w:r>
            <w:fldChar w:fldCharType="begin"/>
          </w:r>
          <w:r>
            <w:instrText xml:space="preserve"> PAGEREF _Toc16909 \h </w:instrText>
          </w:r>
          <w:r>
            <w:fldChar w:fldCharType="separate"/>
          </w:r>
          <w:r>
            <w:t>- 6 -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_Toc19128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2.1企业基础信息</w:t>
          </w:r>
          <w:r>
            <w:tab/>
          </w:r>
          <w:r>
            <w:fldChar w:fldCharType="begin"/>
          </w:r>
          <w:r>
            <w:instrText xml:space="preserve"> PAGEREF _Toc19128 \h </w:instrText>
          </w:r>
          <w:r>
            <w:fldChar w:fldCharType="separate"/>
          </w:r>
          <w:r>
            <w:t>- 6 -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_Toc22418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2.2建设项目概况</w:t>
          </w:r>
          <w:r>
            <w:tab/>
          </w:r>
          <w:r>
            <w:fldChar w:fldCharType="begin"/>
          </w:r>
          <w:r>
            <w:instrText xml:space="preserve"> PAGEREF _Toc22418 \h </w:instrText>
          </w:r>
          <w:r>
            <w:fldChar w:fldCharType="separate"/>
          </w:r>
          <w:r>
            <w:t>- 6 -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_Toc14691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2.3原辅料及产品情况</w:t>
          </w:r>
          <w:r>
            <w:tab/>
          </w:r>
          <w:r>
            <w:fldChar w:fldCharType="begin"/>
          </w:r>
          <w:r>
            <w:instrText xml:space="preserve"> PAGEREF _Toc14691 \h </w:instrText>
          </w:r>
          <w:r>
            <w:fldChar w:fldCharType="separate"/>
          </w:r>
          <w:r>
            <w:t>- 6 -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_Toc17408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2.4生产工艺及产排污环节</w:t>
          </w:r>
          <w:r>
            <w:tab/>
          </w:r>
          <w:r>
            <w:fldChar w:fldCharType="begin"/>
          </w:r>
          <w:r>
            <w:instrText xml:space="preserve"> PAGEREF _Toc17408 \h </w:instrText>
          </w:r>
          <w:r>
            <w:fldChar w:fldCharType="separate"/>
          </w:r>
          <w:r>
            <w:t>- 7 -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_Toc30831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2.5涉及的有毒有害物质</w:t>
          </w:r>
          <w:r>
            <w:tab/>
          </w:r>
          <w:r>
            <w:fldChar w:fldCharType="begin"/>
          </w:r>
          <w:r>
            <w:instrText xml:space="preserve"> PAGEREF _Toc30831 \h </w:instrText>
          </w:r>
          <w:r>
            <w:fldChar w:fldCharType="separate"/>
          </w:r>
          <w:r>
            <w:t>- 7 -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_Toc28930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2.6污染防治措施</w:t>
          </w:r>
          <w:r>
            <w:tab/>
          </w:r>
          <w:r>
            <w:fldChar w:fldCharType="begin"/>
          </w:r>
          <w:r>
            <w:instrText xml:space="preserve"> PAGEREF _Toc28930 \h </w:instrText>
          </w:r>
          <w:r>
            <w:fldChar w:fldCharType="separate"/>
          </w:r>
          <w:r>
            <w:t>- 8 -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_Toc19860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2.7历史土壤和地下水环境监测信息</w:t>
          </w:r>
          <w:r>
            <w:tab/>
          </w:r>
          <w:r>
            <w:fldChar w:fldCharType="begin"/>
          </w:r>
          <w:r>
            <w:instrText xml:space="preserve"> PAGEREF _Toc19860 \h </w:instrText>
          </w:r>
          <w:r>
            <w:fldChar w:fldCharType="separate"/>
          </w:r>
          <w:r>
            <w:t>- 10 -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_Toc3371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3排查方法</w:t>
          </w:r>
          <w:r>
            <w:tab/>
          </w:r>
          <w:r>
            <w:fldChar w:fldCharType="begin"/>
          </w:r>
          <w:r>
            <w:instrText xml:space="preserve"> PAGEREF _Toc3371 \h </w:instrText>
          </w:r>
          <w:r>
            <w:fldChar w:fldCharType="separate"/>
          </w:r>
          <w:r>
            <w:t>- 11 -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_Toc5620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3.1资料收集</w:t>
          </w:r>
          <w:r>
            <w:tab/>
          </w:r>
          <w:r>
            <w:fldChar w:fldCharType="begin"/>
          </w:r>
          <w:r>
            <w:instrText xml:space="preserve"> PAGEREF _Toc5620 \h </w:instrText>
          </w:r>
          <w:r>
            <w:fldChar w:fldCharType="separate"/>
          </w:r>
          <w:r>
            <w:t>- 11 -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_Toc3742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3.2人员访谈</w:t>
          </w:r>
          <w:r>
            <w:tab/>
          </w:r>
          <w:r>
            <w:fldChar w:fldCharType="begin"/>
          </w:r>
          <w:r>
            <w:instrText xml:space="preserve"> PAGEREF _Toc3742 \h </w:instrText>
          </w:r>
          <w:r>
            <w:fldChar w:fldCharType="separate"/>
          </w:r>
          <w:r>
            <w:t>- 14 -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_Toc28291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3.3重点场所或者重点设施设备确定</w:t>
          </w:r>
          <w:r>
            <w:tab/>
          </w:r>
          <w:r>
            <w:fldChar w:fldCharType="begin"/>
          </w:r>
          <w:r>
            <w:instrText xml:space="preserve"> PAGEREF _Toc28291 \h </w:instrText>
          </w:r>
          <w:r>
            <w:fldChar w:fldCharType="separate"/>
          </w:r>
          <w:r>
            <w:t>- 14 -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_Toc10327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3.4现场排查方法</w:t>
          </w:r>
          <w:r>
            <w:tab/>
          </w:r>
          <w:r>
            <w:fldChar w:fldCharType="begin"/>
          </w:r>
          <w:r>
            <w:instrText xml:space="preserve"> PAGEREF _Toc10327 \h </w:instrText>
          </w:r>
          <w:r>
            <w:fldChar w:fldCharType="separate"/>
          </w:r>
          <w:r>
            <w:t>- 15 -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_Toc2241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4土壤污染隐患排查</w:t>
          </w:r>
          <w:r>
            <w:tab/>
          </w:r>
          <w:r>
            <w:fldChar w:fldCharType="begin"/>
          </w:r>
          <w:r>
            <w:instrText xml:space="preserve"> PAGEREF _Toc2241 \h </w:instrText>
          </w:r>
          <w:r>
            <w:fldChar w:fldCharType="separate"/>
          </w:r>
          <w:r>
            <w:t>- 16 -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_Toc11909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4.1重点场所、重点设施设备隐患排查</w:t>
          </w:r>
          <w:r>
            <w:tab/>
          </w:r>
          <w:r>
            <w:fldChar w:fldCharType="begin"/>
          </w:r>
          <w:r>
            <w:instrText xml:space="preserve"> PAGEREF _Toc11909 \h </w:instrText>
          </w:r>
          <w:r>
            <w:fldChar w:fldCharType="separate"/>
          </w:r>
          <w:r>
            <w:t>- 16 -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_Toc22047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4.2隐患排查台账</w:t>
          </w:r>
          <w:r>
            <w:tab/>
          </w:r>
          <w:r>
            <w:fldChar w:fldCharType="begin"/>
          </w:r>
          <w:r>
            <w:instrText xml:space="preserve"> PAGEREF _Toc22047 \h </w:instrText>
          </w:r>
          <w:r>
            <w:fldChar w:fldCharType="separate"/>
          </w:r>
          <w:r>
            <w:t>- 20 -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_Toc2762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5结论和建议</w:t>
          </w:r>
          <w:r>
            <w:tab/>
          </w:r>
          <w:r>
            <w:fldChar w:fldCharType="begin"/>
          </w:r>
          <w:r>
            <w:instrText xml:space="preserve"> PAGEREF _Toc2762 \h </w:instrText>
          </w:r>
          <w:r>
            <w:fldChar w:fldCharType="separate"/>
          </w:r>
          <w:r>
            <w:t>- 23 -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_Toc18384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5.1隐患排查结论</w:t>
          </w:r>
          <w:r>
            <w:tab/>
          </w:r>
          <w:r>
            <w:fldChar w:fldCharType="begin"/>
          </w:r>
          <w:r>
            <w:instrText xml:space="preserve"> PAGEREF _Toc18384 \h </w:instrText>
          </w:r>
          <w:r>
            <w:fldChar w:fldCharType="separate"/>
          </w:r>
          <w:r>
            <w:t>- 23 -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_Toc10076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5.2隐患整改方案或建议</w:t>
          </w:r>
          <w:r>
            <w:tab/>
          </w:r>
          <w:r>
            <w:fldChar w:fldCharType="begin"/>
          </w:r>
          <w:r>
            <w:instrText xml:space="preserve"> PAGEREF _Toc10076 \h </w:instrText>
          </w:r>
          <w:r>
            <w:fldChar w:fldCharType="separate"/>
          </w:r>
          <w:r>
            <w:t>- 23 -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_Toc3535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5.3对土壤和地下水自行监测工作建议</w:t>
          </w:r>
          <w:r>
            <w:tab/>
          </w:r>
          <w:r>
            <w:fldChar w:fldCharType="begin"/>
          </w:r>
          <w:r>
            <w:instrText xml:space="preserve"> PAGEREF _Toc3535 \h </w:instrText>
          </w:r>
          <w:r>
            <w:fldChar w:fldCharType="separate"/>
          </w:r>
          <w:r>
            <w:t>- 23 -</w:t>
          </w:r>
          <w:r>
            <w:fldChar w:fldCharType="end"/>
          </w:r>
          <w:r>
            <w:rPr>
              <w:rFonts w:hint="default" w:ascii="Times New Roman" w:hAnsi="Times New Roman" w:eastAsia="仿宋" w:cs="Times New Roman"/>
              <w:color w:val="auto"/>
              <w:szCs w:val="32"/>
              <w:lang w:val="en-US" w:eastAsia="zh-CN"/>
            </w:rPr>
            <w:fldChar w:fldCharType="end"/>
          </w:r>
        </w:p>
        <w:p>
          <w:pPr>
            <w:pStyle w:val="11"/>
            <w:tabs>
              <w:tab w:val="right" w:leader="dot" w:pos="8306"/>
            </w:tabs>
          </w:pPr>
          <w:r>
            <w:rPr>
              <w:rFonts w:hint="default" w:ascii="Times New Roman" w:hAnsi="Times New Roman" w:eastAsia="仿宋" w:cs="Times New Roman"/>
              <w:color w:val="auto"/>
              <w:szCs w:val="32"/>
              <w:lang w:val="en-US" w:eastAsia="zh-CN"/>
            </w:rPr>
            <w:fldChar w:fldCharType="begin"/>
          </w:r>
          <w:r>
            <w:rPr>
              <w:rFonts w:hint="default" w:ascii="Times New Roman" w:hAnsi="Times New Roman" w:eastAsia="仿宋" w:cs="Times New Roman"/>
              <w:szCs w:val="32"/>
              <w:lang w:val="en-US" w:eastAsia="zh-CN"/>
            </w:rPr>
            <w:instrText xml:space="preserve"> HYPERLINK \l _Toc12385 </w:instrText>
          </w:r>
          <w:r>
            <w:rPr>
              <w:rFonts w:hint="default" w:ascii="Times New Roman" w:hAnsi="Times New Roman" w:eastAsia="仿宋" w:cs="Times New Roman"/>
              <w:szCs w:val="32"/>
              <w:lang w:val="en-US" w:eastAsia="zh-CN"/>
            </w:rPr>
            <w:fldChar w:fldCharType="separate"/>
          </w:r>
          <w:r>
            <w:rPr>
              <w:rFonts w:hint="default" w:ascii="Times New Roman" w:hAnsi="Times New Roman" w:eastAsia="仿宋" w:cs="Times New Roman"/>
            </w:rPr>
            <w:t>6附件</w:t>
          </w:r>
          <w:r>
            <w:tab/>
          </w:r>
          <w:r>
            <w:fldChar w:fldCharType="begin"/>
          </w:r>
          <w:r>
            <w:instrText xml:space="preserve"> PAGEREF _Toc12385 \h </w:instrText>
          </w:r>
          <w:r>
            <w:fldChar w:fldCharType="separate"/>
          </w:r>
          <w:r>
            <w:t>- 25 -</w:t>
          </w:r>
          <w:r>
            <w:fldChar w:fldCharType="end"/>
          </w:r>
          <w:r>
            <w:rPr>
              <w:rFonts w:hint="default" w:ascii="Times New Roman" w:hAnsi="Times New Roman" w:eastAsia="仿宋" w:cs="Times New Roman"/>
              <w:color w:val="auto"/>
              <w:szCs w:val="32"/>
              <w:lang w:val="en-US" w:eastAsia="zh-CN"/>
            </w:rPr>
            <w:fldChar w:fldCharType="end"/>
          </w:r>
        </w:p>
        <w:p>
          <w:pPr>
            <w:pStyle w:val="4"/>
            <w:tabs>
              <w:tab w:val="left" w:pos="7176"/>
            </w:tabs>
            <w:spacing w:line="360" w:lineRule="auto"/>
            <w:ind w:left="0" w:leftChars="0" w:firstLine="0" w:firstLineChars="0"/>
            <w:rPr>
              <w:rFonts w:hint="default" w:ascii="Times New Roman" w:hAnsi="Times New Roman" w:eastAsia="仿宋" w:cs="Times New Roman"/>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仿宋" w:cs="Times New Roman"/>
              <w:color w:val="auto"/>
              <w:szCs w:val="32"/>
              <w:lang w:val="en-US" w:eastAsia="zh-CN"/>
            </w:rPr>
            <w:fldChar w:fldCharType="end"/>
          </w:r>
        </w:p>
      </w:sdtContent>
    </w:sdt>
    <w:p>
      <w:pPr>
        <w:pStyle w:val="3"/>
        <w:numPr>
          <w:ilvl w:val="0"/>
          <w:numId w:val="0"/>
        </w:numPr>
        <w:bidi w:val="0"/>
        <w:jc w:val="center"/>
        <w:rPr>
          <w:rFonts w:hint="default" w:ascii="Times New Roman" w:hAnsi="Times New Roman" w:eastAsia="仿宋" w:cs="Times New Roman"/>
          <w:color w:val="auto"/>
        </w:rPr>
      </w:pPr>
      <w:bookmarkStart w:id="6" w:name="_Toc1103"/>
      <w:r>
        <w:rPr>
          <w:rFonts w:hint="default" w:ascii="Times New Roman" w:hAnsi="Times New Roman" w:eastAsia="仿宋" w:cs="Times New Roman"/>
          <w:color w:val="auto"/>
        </w:rPr>
        <w:t>1总论</w:t>
      </w:r>
      <w:bookmarkEnd w:id="6"/>
    </w:p>
    <w:p>
      <w:pPr>
        <w:pStyle w:val="6"/>
        <w:numPr>
          <w:ilvl w:val="1"/>
          <w:numId w:val="2"/>
        </w:numPr>
        <w:bidi w:val="0"/>
        <w:outlineLvl w:val="0"/>
        <w:rPr>
          <w:rFonts w:hint="default" w:ascii="Times New Roman" w:hAnsi="Times New Roman" w:eastAsia="仿宋" w:cs="Times New Roman"/>
          <w:color w:val="auto"/>
        </w:rPr>
      </w:pPr>
      <w:bookmarkStart w:id="7" w:name="_Toc7481"/>
      <w:r>
        <w:rPr>
          <w:rFonts w:hint="default" w:ascii="Times New Roman" w:hAnsi="Times New Roman" w:eastAsia="仿宋" w:cs="Times New Roman"/>
          <w:color w:val="auto"/>
        </w:rPr>
        <w:t>编制背景</w:t>
      </w:r>
      <w:bookmarkEnd w:id="7"/>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土壤是指陆地表面具有肥力、能够生长植物的疏松表层，其厚度一般在2m左右。土壤不但为植物生长提供机械支撑能力，并能为植物生长发育提供所需要的水、肥、气、热等肥力要素。但是由于人口急剧增长，工业迅猛发展，固体废物不断向土壤表面堆放和倾倒，有害废水不断向土壤中渗透，大气中的有害气体及飘尘也不断随雨水降落在土壤中，导致了土壤污染。</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进入土壤的污染物，因其类型和性质的不同而主要有固定、挥发、降解、流散和淋溶等不同去向。对于这些污染物可以分成化学污染物、物理污染物、生物污染物以及放射性污染物。</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2016年5月，国务院印发《土壤污染防治行动计划》，提出“在现有相关调查基础上，以农用地和重点行业企业用地为重点，开展土壤污染状况详查，2018年底前查明农用地土壤污染的面积、分布及其对农产品质量的影响；2020年底前掌握重点行业企业用地中的污染地块分布及其环境风险情况”。</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2020年3月31日湖南省第十三届人民代表大会常务委员会第十六次会议通过《湖南省实施&lt;中华人民共和国土壤污染防治法&gt;办法》，办法中明确：</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设区的市、自治州人民政府生态环境主管部门应当将</w:t>
      </w:r>
      <w:r>
        <w:rPr>
          <w:rFonts w:hint="eastAsia" w:eastAsia="仿宋" w:cs="Times New Roman"/>
          <w:color w:val="auto"/>
          <w:sz w:val="30"/>
          <w:szCs w:val="30"/>
          <w:lang w:val="en-US" w:eastAsia="zh-CN"/>
        </w:rPr>
        <w:t>危险废物治理行业</w:t>
      </w:r>
      <w:r>
        <w:rPr>
          <w:rFonts w:hint="default" w:ascii="Times New Roman" w:hAnsi="Times New Roman" w:eastAsia="仿宋" w:cs="Times New Roman"/>
          <w:color w:val="auto"/>
          <w:sz w:val="30"/>
          <w:szCs w:val="30"/>
          <w:lang w:val="en-US" w:eastAsia="zh-CN"/>
        </w:rPr>
        <w:t>纳入土壤污染重点监管单位名录。土壤污染重点监管单位应当履行下列义务：</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（一）按照相关规定每年至少对其用地开展一次土壤和地下水监测，并将监测数据报设区的市、自治州人民政府生态环境主管部门；</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（二）建设涉及有毒有害物质的生产装置、储罐和管道，或者建设污水处理池、应急池等存在土壤污染风险的设施，应当严格遵守国家有关标准和规范；</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（三）按照国家和省环境信息公开有关规定，向社会公开其产生的污染物名称、排放方式、排放浓度与总量、污染防治设施建设与运行情况、自行监测等信息，接受社会监督；</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（四）按照国家有关规定购买环境污染责任保险，防范环境污染风险；</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（五）法律法规规定的其他义务。</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highlight w:val="none"/>
          <w:lang w:val="en-US" w:eastAsia="zh-CN"/>
        </w:rPr>
        <w:t>2021年4月，</w:t>
      </w:r>
      <w:r>
        <w:rPr>
          <w:rFonts w:hint="default" w:ascii="Times New Roman" w:hAnsi="Times New Roman" w:eastAsia="仿宋" w:cs="Times New Roman"/>
          <w:color w:val="auto"/>
          <w:sz w:val="30"/>
          <w:szCs w:val="30"/>
          <w:lang w:val="en-US" w:eastAsia="zh-CN"/>
        </w:rPr>
        <w:t>岳阳市生态环境局</w:t>
      </w:r>
      <w:r>
        <w:rPr>
          <w:rFonts w:hint="eastAsia" w:eastAsia="仿宋" w:cs="Times New Roman"/>
          <w:color w:val="auto"/>
          <w:sz w:val="30"/>
          <w:szCs w:val="30"/>
          <w:lang w:val="en-US" w:eastAsia="zh-CN"/>
        </w:rPr>
        <w:t>云溪</w:t>
      </w:r>
      <w:r>
        <w:rPr>
          <w:rFonts w:hint="default" w:ascii="Times New Roman" w:hAnsi="Times New Roman" w:eastAsia="仿宋" w:cs="Times New Roman"/>
          <w:color w:val="auto"/>
          <w:sz w:val="30"/>
          <w:szCs w:val="30"/>
          <w:lang w:val="en-US" w:eastAsia="zh-CN"/>
        </w:rPr>
        <w:t>分局为加强土壤污染预防和保护，强化排污重点单位环境保护监督管理，岳阳市生态环境局</w:t>
      </w:r>
      <w:r>
        <w:rPr>
          <w:rFonts w:hint="eastAsia" w:eastAsia="仿宋" w:cs="Times New Roman"/>
          <w:color w:val="auto"/>
          <w:sz w:val="30"/>
          <w:szCs w:val="30"/>
          <w:lang w:val="en-US" w:eastAsia="zh-CN"/>
        </w:rPr>
        <w:t>云溪</w:t>
      </w:r>
      <w:r>
        <w:rPr>
          <w:rFonts w:hint="default" w:ascii="Times New Roman" w:hAnsi="Times New Roman" w:eastAsia="仿宋" w:cs="Times New Roman"/>
          <w:color w:val="auto"/>
          <w:sz w:val="30"/>
          <w:szCs w:val="30"/>
          <w:lang w:val="en-US" w:eastAsia="zh-CN"/>
        </w:rPr>
        <w:t>分局印发《2021年</w:t>
      </w:r>
      <w:r>
        <w:rPr>
          <w:rFonts w:hint="eastAsia" w:eastAsia="仿宋" w:cs="Times New Roman"/>
          <w:color w:val="auto"/>
          <w:sz w:val="30"/>
          <w:szCs w:val="30"/>
          <w:lang w:val="en-US" w:eastAsia="zh-CN"/>
        </w:rPr>
        <w:t>云溪</w:t>
      </w:r>
      <w:r>
        <w:rPr>
          <w:rFonts w:hint="default" w:ascii="Times New Roman" w:hAnsi="Times New Roman" w:eastAsia="仿宋" w:cs="Times New Roman"/>
          <w:color w:val="auto"/>
          <w:sz w:val="30"/>
          <w:szCs w:val="30"/>
          <w:lang w:val="en-US" w:eastAsia="zh-CN"/>
        </w:rPr>
        <w:t>土壤污染重点监管单位名录》的通知，</w:t>
      </w:r>
      <w:r>
        <w:rPr>
          <w:rFonts w:hint="eastAsia" w:eastAsia="仿宋" w:cs="Times New Roman"/>
          <w:color w:val="auto"/>
          <w:sz w:val="30"/>
          <w:szCs w:val="30"/>
          <w:lang w:val="en-US" w:eastAsia="zh-CN"/>
        </w:rPr>
        <w:t>明确排污重点单位</w:t>
      </w:r>
      <w:r>
        <w:rPr>
          <w:rFonts w:hint="default" w:ascii="Times New Roman" w:hAnsi="Times New Roman" w:eastAsia="仿宋" w:cs="Times New Roman"/>
          <w:color w:val="auto"/>
          <w:sz w:val="30"/>
          <w:szCs w:val="30"/>
          <w:lang w:val="en-US" w:eastAsia="zh-CN"/>
        </w:rPr>
        <w:t>：</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1.开展土壤和地下水自行监测：每年至少开展一次，并报送县局，存在异常的报送市局。</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2.建立土壤和地下水污染隐患排查制度：2021年底前，以厂区为单位开展一次全面、系统的土壤污染隐患排查；之后每2-3年开展一次排查；针对新、改、扩建项目，于投产后一年内开展补充排查，土壤和地下水自行监测存在异常的应立即开展土壤隐患排查，建立隐患排查档案并报送县局备案。</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3.严控有毒有害物质排放：土壤污染重点监管单位每年12月前向所在地县局报告有毒有害物质排放情况，以及地下储罐信息。</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4.加强新改扩建项目的土壤污染防治：新、改、扩建项目用地开展土壤和地下水环境现状调查。</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5.编制应急预案：土壤污染重点监管单位应编制突发环境事件应急预案，并报当地县局备案；</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6.规范拆除活动土壤污染防治：土壤污染重点监管单位应事先编制企业拆除活动污染防治方案，并在拆除活动前15个工作日报所在地生态环境、工业和信息化主管部门备案。拆除活动结束后，编制企业拆除活动环境保护工作总结报告，并进行存档。</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highlight w:val="none"/>
          <w:lang w:val="en-US" w:eastAsia="zh-CN"/>
        </w:rPr>
      </w:pPr>
      <w:r>
        <w:rPr>
          <w:rFonts w:hint="default" w:ascii="Times New Roman" w:hAnsi="Times New Roman" w:eastAsia="仿宋" w:cs="Times New Roman"/>
          <w:color w:val="auto"/>
          <w:sz w:val="30"/>
          <w:szCs w:val="30"/>
          <w:highlight w:val="none"/>
          <w:lang w:val="en-US" w:eastAsia="zh-CN"/>
        </w:rPr>
        <w:t>7.搬迁及关闭腾退地块土壤污染防治：土壤污染重点监管单位存在用地用途变更或者土地使用权收回、转让情况时，土地使用权人应进行土壤污染状况调查，报市生态环境局备案，并会同自然资源部门组织评审，同时上传全国土壤污染地块管理信息系统。</w:t>
      </w:r>
    </w:p>
    <w:p>
      <w:pPr>
        <w:numPr>
          <w:ilvl w:val="0"/>
          <w:numId w:val="0"/>
        </w:numPr>
        <w:adjustRightInd w:val="0"/>
        <w:snapToGrid w:val="0"/>
        <w:spacing w:line="348"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为贯彻落实《中华人民共和国土壤污染防治法》、《工矿用地土壤环境管理办法(试行)》，指导和规范土壤污染重点监管单位建立土壤污染隐患排查制度，及时发现土壤污染隐患并采取措施消除或者降低隐患，制定《重点监管单位土壤污染隐患排查指南(试行)》。</w:t>
      </w:r>
    </w:p>
    <w:p>
      <w:pPr>
        <w:pStyle w:val="6"/>
        <w:bidi w:val="0"/>
        <w:outlineLvl w:val="0"/>
        <w:rPr>
          <w:rFonts w:hint="default" w:ascii="Times New Roman" w:hAnsi="Times New Roman" w:eastAsia="仿宋" w:cs="Times New Roman"/>
          <w:color w:val="auto"/>
        </w:rPr>
      </w:pPr>
      <w:bookmarkStart w:id="8" w:name="_Toc17999"/>
      <w:r>
        <w:rPr>
          <w:rFonts w:hint="default" w:ascii="Times New Roman" w:hAnsi="Times New Roman" w:eastAsia="仿宋" w:cs="Times New Roman"/>
          <w:color w:val="auto"/>
        </w:rPr>
        <w:t>1.2排查目的和原则</w:t>
      </w:r>
      <w:bookmarkEnd w:id="8"/>
    </w:p>
    <w:p>
      <w:pPr>
        <w:adjustRightInd w:val="0"/>
        <w:snapToGrid w:val="0"/>
        <w:spacing w:line="348" w:lineRule="auto"/>
        <w:rPr>
          <w:rFonts w:hint="default" w:ascii="Times New Roman" w:hAnsi="Times New Roman" w:eastAsia="仿宋" w:cs="Times New Roman"/>
          <w:color w:val="auto"/>
          <w:sz w:val="30"/>
          <w:szCs w:val="30"/>
          <w:lang w:eastAsia="zh-CN"/>
        </w:rPr>
      </w:pPr>
      <w:r>
        <w:rPr>
          <w:rFonts w:hint="default" w:ascii="Times New Roman" w:hAnsi="Times New Roman" w:eastAsia="仿宋" w:cs="Times New Roman"/>
          <w:color w:val="auto"/>
          <w:sz w:val="30"/>
          <w:szCs w:val="30"/>
          <w:lang w:val="en-US" w:eastAsia="zh-CN"/>
        </w:rPr>
        <w:t>为排查生产活动中的土壤污染隐患，识别可能造成土壤污染的污染物、设施设备和生产活动，并对其设计及运行管理进行审查和分析，确定存在土壤污染隐患的设施设备和生产活动；对已存在泄露污染或重大污染风险隐患的设施或生产节点进行记录、建立清单，为下一步整改方案的设计提供依据。具体任务如下：</w:t>
      </w:r>
    </w:p>
    <w:p>
      <w:pPr>
        <w:adjustRightInd w:val="0"/>
        <w:snapToGrid w:val="0"/>
        <w:spacing w:line="348" w:lineRule="auto"/>
        <w:rPr>
          <w:rFonts w:hint="default" w:ascii="Times New Roman" w:hAnsi="Times New Roman" w:eastAsia="仿宋" w:cs="Times New Roman"/>
          <w:color w:val="auto"/>
          <w:sz w:val="30"/>
          <w:szCs w:val="30"/>
          <w:lang w:eastAsia="zh-CN"/>
        </w:rPr>
      </w:pPr>
      <w:r>
        <w:rPr>
          <w:rFonts w:hint="default" w:ascii="Times New Roman" w:hAnsi="Times New Roman" w:eastAsia="仿宋" w:cs="Times New Roman"/>
          <w:color w:val="auto"/>
          <w:sz w:val="30"/>
          <w:szCs w:val="30"/>
          <w:lang w:val="en-US" w:eastAsia="zh-CN"/>
        </w:rPr>
        <w:t>（1）全面排查企业的基础生产设施、技术装备、防控手段等方面存在的污染隐患，以及土壤污染防治制度建设、环境保护管理组织体系、职责落实、现场管理、事故查处等方面存在的薄弱环节。</w:t>
      </w:r>
    </w:p>
    <w:p>
      <w:pPr>
        <w:adjustRightInd w:val="0"/>
        <w:snapToGrid w:val="0"/>
        <w:spacing w:line="348" w:lineRule="auto"/>
        <w:rPr>
          <w:rFonts w:hint="default" w:ascii="Times New Roman" w:hAnsi="Times New Roman" w:eastAsia="仿宋" w:cs="Times New Roman"/>
          <w:color w:val="auto"/>
          <w:sz w:val="30"/>
          <w:szCs w:val="30"/>
          <w:lang w:eastAsia="zh-CN"/>
        </w:rPr>
      </w:pPr>
      <w:r>
        <w:rPr>
          <w:rFonts w:hint="default" w:ascii="Times New Roman" w:hAnsi="Times New Roman" w:eastAsia="仿宋" w:cs="Times New Roman"/>
          <w:color w:val="auto"/>
          <w:sz w:val="30"/>
          <w:szCs w:val="30"/>
          <w:lang w:val="en-US" w:eastAsia="zh-CN"/>
        </w:rPr>
        <w:t>（2）按照《工业企业土壤污染隐患排查和整改指南》逐一排查，重点对生产区、原材料及废物对存区、储放区、转运区开展排查。</w:t>
      </w:r>
    </w:p>
    <w:p>
      <w:pPr>
        <w:adjustRightInd w:val="0"/>
        <w:snapToGrid w:val="0"/>
        <w:spacing w:line="348" w:lineRule="auto"/>
        <w:rPr>
          <w:rFonts w:hint="default" w:ascii="Times New Roman" w:hAnsi="Times New Roman" w:eastAsia="仿宋" w:cs="Times New Roman"/>
          <w:color w:val="auto"/>
          <w:sz w:val="30"/>
          <w:szCs w:val="30"/>
          <w:lang w:eastAsia="zh-CN"/>
        </w:rPr>
      </w:pPr>
      <w:r>
        <w:rPr>
          <w:rFonts w:hint="default" w:ascii="Times New Roman" w:hAnsi="Times New Roman" w:eastAsia="仿宋" w:cs="Times New Roman"/>
          <w:color w:val="auto"/>
          <w:sz w:val="30"/>
          <w:szCs w:val="30"/>
          <w:lang w:val="en-US" w:eastAsia="zh-CN"/>
        </w:rPr>
        <w:t>（3）重点排查对象(可能涉及土壤污染的工业活动和设施):散装液体存储(地下储罐、地表储罐、离地的悬挂储罐、水坑或渗坑);散装液体转运(装车与卸货、管道运输、泵传输、开口桶的运输);散装和包装材料的存储与运输(散装商品的存储与运输、固态物质的存储与运输、液态的存储与运输);其他活动(污水处理与排放、紧急收集装置、车间存储)等。</w:t>
      </w:r>
    </w:p>
    <w:p>
      <w:pPr>
        <w:adjustRightInd w:val="0"/>
        <w:snapToGrid w:val="0"/>
        <w:spacing w:line="348" w:lineRule="auto"/>
        <w:rPr>
          <w:rFonts w:hint="default" w:ascii="Times New Roman" w:hAnsi="Times New Roman" w:eastAsia="仿宋" w:cs="Times New Roman"/>
          <w:color w:val="auto"/>
          <w:sz w:val="30"/>
          <w:szCs w:val="30"/>
          <w:lang w:eastAsia="zh-CN"/>
        </w:rPr>
      </w:pPr>
      <w:r>
        <w:rPr>
          <w:rFonts w:hint="default" w:ascii="Times New Roman" w:hAnsi="Times New Roman" w:eastAsia="仿宋" w:cs="Times New Roman"/>
          <w:color w:val="auto"/>
          <w:sz w:val="30"/>
          <w:szCs w:val="30"/>
          <w:lang w:eastAsia="zh-CN"/>
        </w:rPr>
        <w:t>本次土壤隐患排查的最终目的在于</w:t>
      </w:r>
      <w:r>
        <w:rPr>
          <w:rFonts w:hint="default" w:ascii="Times New Roman" w:hAnsi="Times New Roman" w:eastAsia="仿宋" w:cs="Times New Roman"/>
          <w:color w:val="auto"/>
          <w:sz w:val="30"/>
          <w:szCs w:val="30"/>
        </w:rPr>
        <w:t>及时发现</w:t>
      </w:r>
      <w:r>
        <w:rPr>
          <w:rFonts w:hint="eastAsia" w:eastAsia="仿宋" w:cs="Times New Roman"/>
          <w:color w:val="auto"/>
          <w:sz w:val="30"/>
          <w:szCs w:val="30"/>
          <w:lang w:eastAsia="zh-CN"/>
        </w:rPr>
        <w:t>岳阳市云溪区云兴矿业有限公司</w:t>
      </w:r>
      <w:r>
        <w:rPr>
          <w:rFonts w:hint="default" w:ascii="Times New Roman" w:hAnsi="Times New Roman" w:eastAsia="仿宋" w:cs="Times New Roman"/>
          <w:color w:val="auto"/>
          <w:sz w:val="30"/>
          <w:szCs w:val="30"/>
          <w:lang w:val="en-US" w:eastAsia="zh-CN"/>
        </w:rPr>
        <w:t>存在的</w:t>
      </w:r>
      <w:r>
        <w:rPr>
          <w:rFonts w:hint="default" w:ascii="Times New Roman" w:hAnsi="Times New Roman" w:eastAsia="仿宋" w:cs="Times New Roman"/>
          <w:color w:val="auto"/>
          <w:sz w:val="30"/>
          <w:szCs w:val="30"/>
        </w:rPr>
        <w:t>土壤污染隐患</w:t>
      </w:r>
      <w:r>
        <w:rPr>
          <w:rFonts w:hint="default" w:ascii="Times New Roman" w:hAnsi="Times New Roman" w:eastAsia="仿宋" w:cs="Times New Roman"/>
          <w:color w:val="auto"/>
          <w:sz w:val="30"/>
          <w:szCs w:val="30"/>
          <w:lang w:eastAsia="zh-CN"/>
        </w:rPr>
        <w:t>，</w:t>
      </w:r>
      <w:r>
        <w:rPr>
          <w:rFonts w:hint="default" w:ascii="Times New Roman" w:hAnsi="Times New Roman" w:eastAsia="仿宋" w:cs="Times New Roman"/>
          <w:color w:val="auto"/>
          <w:sz w:val="30"/>
          <w:szCs w:val="30"/>
        </w:rPr>
        <w:t>并</w:t>
      </w:r>
      <w:r>
        <w:rPr>
          <w:rFonts w:hint="default" w:ascii="Times New Roman" w:hAnsi="Times New Roman" w:eastAsia="仿宋" w:cs="Times New Roman"/>
          <w:color w:val="auto"/>
          <w:sz w:val="30"/>
          <w:szCs w:val="30"/>
          <w:lang w:eastAsia="zh-CN"/>
        </w:rPr>
        <w:t>制定整改方案，消除</w:t>
      </w:r>
      <w:r>
        <w:rPr>
          <w:rFonts w:hint="default" w:ascii="Times New Roman" w:hAnsi="Times New Roman" w:eastAsia="仿宋" w:cs="Times New Roman"/>
          <w:color w:val="auto"/>
          <w:sz w:val="30"/>
          <w:szCs w:val="30"/>
        </w:rPr>
        <w:t>或者降低隐患</w:t>
      </w:r>
      <w:r>
        <w:rPr>
          <w:rFonts w:hint="default" w:ascii="Times New Roman" w:hAnsi="Times New Roman" w:eastAsia="仿宋" w:cs="Times New Roman"/>
          <w:color w:val="auto"/>
          <w:sz w:val="30"/>
          <w:szCs w:val="30"/>
          <w:lang w:eastAsia="zh-CN"/>
        </w:rPr>
        <w:t>。</w:t>
      </w:r>
    </w:p>
    <w:p>
      <w:pPr>
        <w:adjustRightInd w:val="0"/>
        <w:snapToGrid w:val="0"/>
        <w:spacing w:line="348" w:lineRule="auto"/>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eastAsia="zh-CN"/>
        </w:rPr>
        <w:t>本次土壤隐患排查坚持的原则是：（</w:t>
      </w:r>
      <w:r>
        <w:rPr>
          <w:rFonts w:hint="default" w:ascii="Times New Roman" w:hAnsi="Times New Roman" w:eastAsia="仿宋" w:cs="Times New Roman"/>
          <w:color w:val="auto"/>
          <w:sz w:val="30"/>
          <w:szCs w:val="30"/>
          <w:lang w:val="en-US" w:eastAsia="zh-CN"/>
        </w:rPr>
        <w:t>1</w:t>
      </w:r>
      <w:r>
        <w:rPr>
          <w:rFonts w:hint="default" w:ascii="Times New Roman" w:hAnsi="Times New Roman" w:eastAsia="仿宋" w:cs="Times New Roman"/>
          <w:color w:val="auto"/>
          <w:sz w:val="30"/>
          <w:szCs w:val="30"/>
          <w:lang w:eastAsia="zh-CN"/>
        </w:rPr>
        <w:t>）实事求是。即根据企业现存的实际情况进行调查、记录，不谎报、不瞒报；（</w:t>
      </w:r>
      <w:r>
        <w:rPr>
          <w:rFonts w:hint="default" w:ascii="Times New Roman" w:hAnsi="Times New Roman" w:eastAsia="仿宋" w:cs="Times New Roman"/>
          <w:color w:val="auto"/>
          <w:sz w:val="30"/>
          <w:szCs w:val="30"/>
          <w:lang w:val="en-US" w:eastAsia="zh-CN"/>
        </w:rPr>
        <w:t>2</w:t>
      </w:r>
      <w:r>
        <w:rPr>
          <w:rFonts w:hint="default" w:ascii="Times New Roman" w:hAnsi="Times New Roman" w:eastAsia="仿宋" w:cs="Times New Roman"/>
          <w:color w:val="auto"/>
          <w:sz w:val="30"/>
          <w:szCs w:val="30"/>
          <w:lang w:eastAsia="zh-CN"/>
        </w:rPr>
        <w:t>）依法依规。即根据国家和地方法规针对实际存在的问题提出合理合法可行的整改措施；（</w:t>
      </w:r>
      <w:r>
        <w:rPr>
          <w:rFonts w:hint="default" w:ascii="Times New Roman" w:hAnsi="Times New Roman" w:eastAsia="仿宋" w:cs="Times New Roman"/>
          <w:color w:val="auto"/>
          <w:sz w:val="30"/>
          <w:szCs w:val="30"/>
          <w:lang w:val="en-US" w:eastAsia="zh-CN"/>
        </w:rPr>
        <w:t>3</w:t>
      </w:r>
      <w:r>
        <w:rPr>
          <w:rFonts w:hint="default" w:ascii="Times New Roman" w:hAnsi="Times New Roman" w:eastAsia="仿宋" w:cs="Times New Roman"/>
          <w:color w:val="auto"/>
          <w:sz w:val="30"/>
          <w:szCs w:val="30"/>
          <w:lang w:eastAsia="zh-CN"/>
        </w:rPr>
        <w:t>）科学建档。即针对已经收集的资料和编制的报告进行建档，分类管理。</w:t>
      </w:r>
    </w:p>
    <w:p>
      <w:pPr>
        <w:pStyle w:val="6"/>
        <w:bidi w:val="0"/>
        <w:outlineLvl w:val="0"/>
        <w:rPr>
          <w:rFonts w:hint="default" w:ascii="Times New Roman" w:hAnsi="Times New Roman" w:eastAsia="仿宋" w:cs="Times New Roman"/>
          <w:color w:val="auto"/>
        </w:rPr>
      </w:pPr>
      <w:bookmarkStart w:id="9" w:name="_Toc25659"/>
      <w:r>
        <w:rPr>
          <w:rFonts w:hint="default" w:ascii="Times New Roman" w:hAnsi="Times New Roman" w:eastAsia="仿宋" w:cs="Times New Roman"/>
          <w:color w:val="auto"/>
        </w:rPr>
        <w:t>1.3排查范围</w:t>
      </w:r>
      <w:bookmarkEnd w:id="9"/>
    </w:p>
    <w:p>
      <w:pPr>
        <w:rPr>
          <w:rFonts w:hint="default" w:ascii="Times New Roman" w:hAnsi="Times New Roman" w:eastAsia="仿宋" w:cs="Times New Roman"/>
          <w:color w:val="auto"/>
          <w:sz w:val="30"/>
          <w:szCs w:val="30"/>
          <w:lang w:eastAsia="zh-CN"/>
        </w:rPr>
      </w:pPr>
      <w:r>
        <w:rPr>
          <w:rFonts w:hint="eastAsia" w:eastAsia="仿宋" w:cs="Times New Roman"/>
          <w:color w:val="auto"/>
          <w:sz w:val="30"/>
          <w:szCs w:val="30"/>
          <w:lang w:eastAsia="zh-CN"/>
        </w:rPr>
        <w:t>岳阳市云溪区云兴矿业有限公司</w:t>
      </w:r>
      <w:r>
        <w:rPr>
          <w:rFonts w:hint="default" w:ascii="Times New Roman" w:hAnsi="Times New Roman" w:eastAsia="仿宋" w:cs="Times New Roman"/>
          <w:color w:val="auto"/>
          <w:sz w:val="30"/>
          <w:szCs w:val="30"/>
          <w:lang w:eastAsia="zh-CN"/>
        </w:rPr>
        <w:t>此次</w:t>
      </w:r>
      <w:r>
        <w:rPr>
          <w:rFonts w:hint="default" w:ascii="Times New Roman" w:hAnsi="Times New Roman" w:eastAsia="仿宋" w:cs="Times New Roman"/>
          <w:color w:val="auto"/>
          <w:sz w:val="30"/>
          <w:szCs w:val="30"/>
          <w:lang w:val="en-US" w:eastAsia="zh-CN"/>
        </w:rPr>
        <w:t>土壤隐患排查的范围</w:t>
      </w:r>
      <w:r>
        <w:rPr>
          <w:rFonts w:hint="eastAsia" w:eastAsia="仿宋" w:cs="Times New Roman"/>
          <w:color w:val="auto"/>
          <w:sz w:val="30"/>
          <w:szCs w:val="30"/>
          <w:lang w:val="en-US" w:eastAsia="zh-CN"/>
        </w:rPr>
        <w:t>为厂区储罐区、装卸区、危废间</w:t>
      </w:r>
      <w:r>
        <w:rPr>
          <w:rFonts w:hint="default" w:ascii="Times New Roman" w:hAnsi="Times New Roman" w:eastAsia="仿宋" w:cs="Times New Roman"/>
          <w:color w:val="auto"/>
          <w:sz w:val="30"/>
          <w:szCs w:val="30"/>
          <w:lang w:val="en-US" w:eastAsia="zh-CN"/>
        </w:rPr>
        <w:t>。</w:t>
      </w:r>
    </w:p>
    <w:p>
      <w:pPr>
        <w:pStyle w:val="6"/>
        <w:bidi w:val="0"/>
        <w:outlineLvl w:val="0"/>
        <w:rPr>
          <w:rFonts w:hint="default" w:ascii="Times New Roman" w:hAnsi="Times New Roman" w:eastAsia="仿宋" w:cs="Times New Roman"/>
          <w:color w:val="auto"/>
        </w:rPr>
      </w:pPr>
      <w:bookmarkStart w:id="10" w:name="_Toc8409"/>
      <w:r>
        <w:rPr>
          <w:rFonts w:hint="default" w:ascii="Times New Roman" w:hAnsi="Times New Roman" w:eastAsia="仿宋" w:cs="Times New Roman"/>
          <w:color w:val="auto"/>
        </w:rPr>
        <w:t>1.4编制依据</w:t>
      </w:r>
      <w:bookmarkEnd w:id="10"/>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《中华人民共和国固体废物污染环境防治法》（2020年4月29日修订）；</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《建设用地土壤污染风险评估技术导则》（HJ25.3-2019）；</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《建设用地土壤污染风险管控和修复、监测技术导则》（HJ25.2-2019）；</w:t>
      </w:r>
    </w:p>
    <w:p>
      <w:pPr>
        <w:numPr>
          <w:ilvl w:val="0"/>
          <w:numId w:val="3"/>
        </w:numPr>
        <w:bidi w:val="0"/>
        <w:ind w:left="0" w:lef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sz w:val="30"/>
          <w:szCs w:val="30"/>
          <w:lang w:val="en-US" w:eastAsia="zh-CN"/>
        </w:rPr>
        <w:t>《土地环境质量-建设用地土壤污染风险管控标准（试行）》（GB36600—2018）；</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《地下水质量标准》（GB/T14848-2017）；</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《中华人民共和国水污染防治法》（2017年二次修正）；</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《关于发布《有毒有害水污染物名录（第一批）》的公告》；</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《中华人民共和国大气污染防治法》（2016年1月1日施行）；</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《有毒有害大气污染物名录（2018年）》；</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湖南省实施《中华人民共和国土壤污染防治法》办法（</w:t>
      </w:r>
      <w:r>
        <w:rPr>
          <w:rFonts w:hint="default" w:ascii="Times New Roman" w:hAnsi="Times New Roman" w:eastAsia="仿宋" w:cs="Times New Roman"/>
          <w:i w:val="0"/>
          <w:iCs w:val="0"/>
          <w:caps w:val="0"/>
          <w:color w:val="auto"/>
          <w:spacing w:val="0"/>
          <w:sz w:val="32"/>
          <w:szCs w:val="32"/>
        </w:rPr>
        <w:t>2020</w:t>
      </w:r>
      <w:r>
        <w:rPr>
          <w:rFonts w:hint="default" w:ascii="Times New Roman" w:hAnsi="Times New Roman" w:eastAsia="仿宋" w:cs="Times New Roman"/>
          <w:i w:val="0"/>
          <w:iCs w:val="0"/>
          <w:caps w:val="0"/>
          <w:color w:val="auto"/>
          <w:spacing w:val="-11"/>
          <w:sz w:val="32"/>
          <w:szCs w:val="32"/>
        </w:rPr>
        <w:t>年</w:t>
      </w:r>
      <w:r>
        <w:rPr>
          <w:rFonts w:hint="default" w:ascii="Times New Roman" w:hAnsi="Times New Roman" w:eastAsia="仿宋" w:cs="Times New Roman"/>
          <w:i w:val="0"/>
          <w:iCs w:val="0"/>
          <w:caps w:val="0"/>
          <w:color w:val="auto"/>
          <w:spacing w:val="0"/>
          <w:sz w:val="32"/>
          <w:szCs w:val="32"/>
        </w:rPr>
        <w:t>3</w:t>
      </w:r>
      <w:r>
        <w:rPr>
          <w:rFonts w:hint="default" w:ascii="Times New Roman" w:hAnsi="Times New Roman" w:eastAsia="仿宋" w:cs="Times New Roman"/>
          <w:i w:val="0"/>
          <w:iCs w:val="0"/>
          <w:caps w:val="0"/>
          <w:color w:val="auto"/>
          <w:spacing w:val="-11"/>
          <w:sz w:val="32"/>
          <w:szCs w:val="32"/>
        </w:rPr>
        <w:t>月</w:t>
      </w:r>
      <w:r>
        <w:rPr>
          <w:rFonts w:hint="default" w:ascii="Times New Roman" w:hAnsi="Times New Roman" w:eastAsia="仿宋" w:cs="Times New Roman"/>
          <w:i w:val="0"/>
          <w:iCs w:val="0"/>
          <w:caps w:val="0"/>
          <w:color w:val="auto"/>
          <w:spacing w:val="0"/>
          <w:sz w:val="32"/>
          <w:szCs w:val="32"/>
        </w:rPr>
        <w:t>31</w:t>
      </w:r>
      <w:r>
        <w:rPr>
          <w:rFonts w:hint="default" w:ascii="Times New Roman" w:hAnsi="Times New Roman" w:eastAsia="仿宋" w:cs="Times New Roman"/>
          <w:i w:val="0"/>
          <w:iCs w:val="0"/>
          <w:caps w:val="0"/>
          <w:color w:val="auto"/>
          <w:spacing w:val="-11"/>
          <w:sz w:val="32"/>
          <w:szCs w:val="32"/>
        </w:rPr>
        <w:t>日湖南省第十三届人民代表大会常务委员会第十六次会议通过</w:t>
      </w:r>
      <w:r>
        <w:rPr>
          <w:rFonts w:hint="default" w:ascii="Times New Roman" w:hAnsi="Times New Roman" w:eastAsia="仿宋" w:cs="Times New Roman"/>
          <w:color w:val="auto"/>
          <w:sz w:val="30"/>
          <w:szCs w:val="30"/>
          <w:lang w:val="en-US" w:eastAsia="zh-CN"/>
        </w:rPr>
        <w:t>）；</w:t>
      </w:r>
    </w:p>
    <w:p>
      <w:pPr>
        <w:numPr>
          <w:ilvl w:val="0"/>
          <w:numId w:val="3"/>
        </w:numPr>
        <w:bidi w:val="0"/>
        <w:ind w:left="0" w:leftChars="0" w:firstLine="0" w:firstLineChars="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《重点监管单位土壤污染隐患排查指南（试行）》；</w:t>
      </w:r>
    </w:p>
    <w:p>
      <w:pPr>
        <w:pStyle w:val="3"/>
        <w:numPr>
          <w:ilvl w:val="0"/>
          <w:numId w:val="0"/>
        </w:numPr>
        <w:bidi w:val="0"/>
        <w:jc w:val="center"/>
        <w:rPr>
          <w:rFonts w:hint="default" w:ascii="Times New Roman" w:hAnsi="Times New Roman" w:eastAsia="仿宋" w:cs="Times New Roman"/>
          <w:color w:val="auto"/>
        </w:rPr>
      </w:pPr>
    </w:p>
    <w:p>
      <w:pPr>
        <w:pStyle w:val="3"/>
        <w:numPr>
          <w:ilvl w:val="0"/>
          <w:numId w:val="0"/>
        </w:numPr>
        <w:bidi w:val="0"/>
        <w:jc w:val="center"/>
        <w:rPr>
          <w:rFonts w:hint="default" w:ascii="Times New Roman" w:hAnsi="Times New Roman" w:eastAsia="仿宋" w:cs="Times New Roman"/>
          <w:color w:val="auto"/>
        </w:rPr>
      </w:pPr>
      <w:bookmarkStart w:id="11" w:name="_Toc16909"/>
      <w:r>
        <w:rPr>
          <w:rFonts w:hint="default" w:ascii="Times New Roman" w:hAnsi="Times New Roman" w:eastAsia="仿宋" w:cs="Times New Roman"/>
          <w:color w:val="auto"/>
        </w:rPr>
        <w:t>2企业概况</w:t>
      </w:r>
      <w:bookmarkEnd w:id="11"/>
    </w:p>
    <w:p>
      <w:pPr>
        <w:pStyle w:val="6"/>
        <w:bidi w:val="0"/>
        <w:outlineLvl w:val="0"/>
        <w:rPr>
          <w:rFonts w:hint="default" w:ascii="Times New Roman" w:hAnsi="Times New Roman" w:eastAsia="仿宋" w:cs="Times New Roman"/>
          <w:color w:val="auto"/>
        </w:rPr>
      </w:pPr>
      <w:bookmarkStart w:id="12" w:name="_Toc19128"/>
      <w:r>
        <w:rPr>
          <w:rFonts w:hint="default" w:ascii="Times New Roman" w:hAnsi="Times New Roman" w:eastAsia="仿宋" w:cs="Times New Roman"/>
          <w:color w:val="auto"/>
        </w:rPr>
        <w:t>2.1企业基础信息</w:t>
      </w:r>
      <w:bookmarkEnd w:id="12"/>
    </w:p>
    <w:p>
      <w:pPr>
        <w:adjustRightInd w:val="0"/>
        <w:snapToGrid w:val="0"/>
        <w:spacing w:line="348" w:lineRule="auto"/>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岳阳市云溪区云兴矿业有限公司位于云溪区路口镇新合村沈家组，毗邻长岭炼化公司工业站台。厂址地势较高，西面为荒山，东面为进出通道，周边200米外有少量住户</w:t>
      </w:r>
      <w:r>
        <w:rPr>
          <w:rFonts w:hint="default" w:ascii="Times New Roman" w:hAnsi="Times New Roman" w:eastAsia="仿宋" w:cs="Times New Roman"/>
          <w:color w:val="auto"/>
          <w:sz w:val="30"/>
          <w:szCs w:val="30"/>
          <w:lang w:val="en-US" w:eastAsia="zh-CN"/>
        </w:rPr>
        <w:t>。</w:t>
      </w:r>
    </w:p>
    <w:p>
      <w:pPr>
        <w:adjustRightInd w:val="0"/>
        <w:snapToGrid w:val="0"/>
        <w:spacing w:line="348" w:lineRule="auto"/>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于200</w:t>
      </w:r>
      <w:r>
        <w:rPr>
          <w:rFonts w:hint="eastAsia" w:eastAsia="仿宋" w:cs="Times New Roman"/>
          <w:color w:val="auto"/>
          <w:sz w:val="30"/>
          <w:szCs w:val="30"/>
          <w:lang w:val="en-US" w:eastAsia="zh-CN"/>
        </w:rPr>
        <w:t>3</w:t>
      </w:r>
      <w:r>
        <w:rPr>
          <w:rFonts w:hint="default" w:ascii="Times New Roman" w:hAnsi="Times New Roman" w:eastAsia="仿宋" w:cs="Times New Roman"/>
          <w:color w:val="auto"/>
          <w:sz w:val="30"/>
          <w:szCs w:val="30"/>
          <w:lang w:val="en-US" w:eastAsia="zh-CN"/>
        </w:rPr>
        <w:t>年</w:t>
      </w:r>
      <w:r>
        <w:rPr>
          <w:rFonts w:hint="eastAsia" w:eastAsia="仿宋" w:cs="Times New Roman"/>
          <w:color w:val="auto"/>
          <w:sz w:val="30"/>
          <w:szCs w:val="30"/>
          <w:lang w:val="en-US" w:eastAsia="zh-CN"/>
        </w:rPr>
        <w:t>3</w:t>
      </w:r>
      <w:r>
        <w:rPr>
          <w:rFonts w:hint="default" w:ascii="Times New Roman" w:hAnsi="Times New Roman" w:eastAsia="仿宋" w:cs="Times New Roman"/>
          <w:color w:val="auto"/>
          <w:sz w:val="30"/>
          <w:szCs w:val="30"/>
          <w:lang w:val="en-US" w:eastAsia="zh-CN"/>
        </w:rPr>
        <w:t>月</w:t>
      </w:r>
      <w:r>
        <w:rPr>
          <w:rFonts w:hint="eastAsia" w:eastAsia="仿宋" w:cs="Times New Roman"/>
          <w:color w:val="auto"/>
          <w:sz w:val="30"/>
          <w:szCs w:val="30"/>
          <w:lang w:val="en-US" w:eastAsia="zh-CN"/>
        </w:rPr>
        <w:t>编制了</w:t>
      </w:r>
      <w:r>
        <w:rPr>
          <w:rFonts w:hint="default" w:ascii="Times New Roman" w:hAnsi="Times New Roman" w:eastAsia="仿宋" w:cs="Times New Roman"/>
          <w:color w:val="auto"/>
          <w:sz w:val="30"/>
          <w:szCs w:val="30"/>
          <w:lang w:val="en-US" w:eastAsia="zh-CN"/>
        </w:rPr>
        <w:t>《</w:t>
      </w:r>
      <w:r>
        <w:rPr>
          <w:rFonts w:hint="eastAsia" w:eastAsia="仿宋" w:cs="Times New Roman"/>
          <w:color w:val="auto"/>
          <w:sz w:val="30"/>
          <w:szCs w:val="30"/>
          <w:lang w:val="en-US" w:eastAsia="zh-CN"/>
        </w:rPr>
        <w:t>废油综合利用项目</w:t>
      </w:r>
      <w:r>
        <w:rPr>
          <w:rFonts w:hint="default" w:ascii="Times New Roman" w:hAnsi="Times New Roman" w:eastAsia="仿宋" w:cs="Times New Roman"/>
          <w:color w:val="auto"/>
          <w:sz w:val="30"/>
          <w:szCs w:val="30"/>
          <w:lang w:val="en-US" w:eastAsia="zh-CN"/>
        </w:rPr>
        <w:t>》</w:t>
      </w:r>
      <w:r>
        <w:rPr>
          <w:rFonts w:hint="eastAsia" w:eastAsia="仿宋" w:cs="Times New Roman"/>
          <w:color w:val="auto"/>
          <w:sz w:val="30"/>
          <w:szCs w:val="30"/>
          <w:lang w:val="en-US" w:eastAsia="zh-CN"/>
        </w:rPr>
        <w:t>环境影响登记表，并于2003年6月获得了岳阳市云溪区环保局批复。</w:t>
      </w:r>
      <w:r>
        <w:rPr>
          <w:rFonts w:hint="default" w:ascii="Times New Roman" w:hAnsi="Times New Roman" w:eastAsia="仿宋" w:cs="Times New Roman"/>
          <w:color w:val="auto"/>
          <w:sz w:val="30"/>
          <w:szCs w:val="30"/>
          <w:lang w:val="en-US" w:eastAsia="zh-CN"/>
        </w:rPr>
        <w:t>20</w:t>
      </w:r>
      <w:r>
        <w:rPr>
          <w:rFonts w:hint="eastAsia" w:eastAsia="仿宋" w:cs="Times New Roman"/>
          <w:color w:val="auto"/>
          <w:sz w:val="30"/>
          <w:szCs w:val="30"/>
          <w:lang w:val="en-US" w:eastAsia="zh-CN"/>
        </w:rPr>
        <w:t>04</w:t>
      </w:r>
      <w:r>
        <w:rPr>
          <w:rFonts w:hint="default" w:ascii="Times New Roman" w:hAnsi="Times New Roman" w:eastAsia="仿宋" w:cs="Times New Roman"/>
          <w:color w:val="auto"/>
          <w:sz w:val="30"/>
          <w:szCs w:val="30"/>
          <w:lang w:val="en-US" w:eastAsia="zh-CN"/>
        </w:rPr>
        <w:t>年</w:t>
      </w:r>
      <w:r>
        <w:rPr>
          <w:rFonts w:hint="eastAsia" w:eastAsia="仿宋" w:cs="Times New Roman"/>
          <w:color w:val="auto"/>
          <w:sz w:val="30"/>
          <w:szCs w:val="30"/>
          <w:lang w:val="en-US" w:eastAsia="zh-CN"/>
        </w:rPr>
        <w:t>项目通过验收</w:t>
      </w:r>
      <w:r>
        <w:rPr>
          <w:rFonts w:hint="default" w:ascii="Times New Roman" w:hAnsi="Times New Roman" w:eastAsia="仿宋" w:cs="Times New Roman"/>
          <w:color w:val="auto"/>
          <w:sz w:val="30"/>
          <w:szCs w:val="30"/>
          <w:lang w:val="en-US" w:eastAsia="zh-CN"/>
        </w:rPr>
        <w:t>。</w:t>
      </w:r>
    </w:p>
    <w:p>
      <w:pPr>
        <w:pStyle w:val="6"/>
        <w:bidi w:val="0"/>
        <w:outlineLvl w:val="0"/>
        <w:rPr>
          <w:rFonts w:hint="default" w:ascii="Times New Roman" w:hAnsi="Times New Roman" w:eastAsia="仿宋" w:cs="Times New Roman"/>
          <w:color w:val="auto"/>
        </w:rPr>
      </w:pPr>
      <w:bookmarkStart w:id="13" w:name="_Toc22418"/>
      <w:r>
        <w:rPr>
          <w:rFonts w:hint="default" w:ascii="Times New Roman" w:hAnsi="Times New Roman" w:eastAsia="仿宋" w:cs="Times New Roman"/>
          <w:color w:val="auto"/>
        </w:rPr>
        <w:t>2.2建设项目概况</w:t>
      </w:r>
      <w:bookmarkEnd w:id="13"/>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项目主要由主体工程、储运工程、辅助工程、公用工程组成。主体工程包括</w:t>
      </w:r>
      <w:r>
        <w:rPr>
          <w:rFonts w:hint="eastAsia" w:eastAsia="仿宋" w:cs="Times New Roman"/>
          <w:color w:val="auto"/>
          <w:sz w:val="30"/>
          <w:szCs w:val="30"/>
          <w:lang w:val="en-US" w:eastAsia="zh-CN"/>
        </w:rPr>
        <w:t>锅炉房</w:t>
      </w:r>
      <w:r>
        <w:rPr>
          <w:rFonts w:hint="default" w:ascii="Times New Roman" w:hAnsi="Times New Roman" w:eastAsia="仿宋" w:cs="Times New Roman"/>
          <w:color w:val="auto"/>
          <w:sz w:val="30"/>
          <w:szCs w:val="30"/>
          <w:lang w:val="en-US" w:eastAsia="zh-CN"/>
        </w:rPr>
        <w:t>等；储运工程包括</w:t>
      </w:r>
      <w:r>
        <w:rPr>
          <w:rFonts w:hint="eastAsia" w:eastAsia="仿宋" w:cs="Times New Roman"/>
          <w:color w:val="auto"/>
          <w:sz w:val="30"/>
          <w:szCs w:val="30"/>
          <w:lang w:val="en-US" w:eastAsia="zh-CN"/>
        </w:rPr>
        <w:t>废料油储罐运输</w:t>
      </w:r>
      <w:r>
        <w:rPr>
          <w:rFonts w:hint="default" w:ascii="Times New Roman" w:hAnsi="Times New Roman" w:eastAsia="仿宋" w:cs="Times New Roman"/>
          <w:color w:val="auto"/>
          <w:sz w:val="30"/>
          <w:szCs w:val="30"/>
          <w:lang w:val="en-US" w:eastAsia="zh-CN"/>
        </w:rPr>
        <w:t>；辅助工程包括</w:t>
      </w:r>
      <w:r>
        <w:rPr>
          <w:rFonts w:hint="eastAsia" w:eastAsia="仿宋" w:cs="Times New Roman"/>
          <w:color w:val="auto"/>
          <w:sz w:val="30"/>
          <w:szCs w:val="30"/>
          <w:lang w:val="en-US" w:eastAsia="zh-CN"/>
        </w:rPr>
        <w:t>危废暂存间等</w:t>
      </w:r>
      <w:r>
        <w:rPr>
          <w:rFonts w:hint="default" w:ascii="Times New Roman" w:hAnsi="Times New Roman" w:eastAsia="仿宋" w:cs="Times New Roman"/>
          <w:color w:val="auto"/>
          <w:sz w:val="30"/>
          <w:szCs w:val="30"/>
          <w:lang w:val="en-US" w:eastAsia="zh-CN"/>
        </w:rPr>
        <w:t>；公用工程包括配电室。</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项目</w:t>
      </w:r>
      <w:r>
        <w:rPr>
          <w:rFonts w:hint="eastAsia" w:eastAsia="仿宋" w:cs="Times New Roman"/>
          <w:color w:val="auto"/>
          <w:sz w:val="30"/>
          <w:szCs w:val="30"/>
          <w:lang w:val="en-US" w:eastAsia="zh-CN"/>
        </w:rPr>
        <w:t>主要是收集废的沥青油，在储罐内储存</w:t>
      </w:r>
      <w:r>
        <w:rPr>
          <w:rFonts w:hint="default" w:ascii="Times New Roman" w:hAnsi="Times New Roman" w:eastAsia="仿宋" w:cs="Times New Roman"/>
          <w:color w:val="auto"/>
          <w:sz w:val="30"/>
          <w:szCs w:val="30"/>
          <w:lang w:val="en-US" w:eastAsia="zh-CN"/>
        </w:rPr>
        <w:t>。</w:t>
      </w:r>
      <w:r>
        <w:rPr>
          <w:rFonts w:hint="eastAsia" w:eastAsia="仿宋" w:cs="Times New Roman"/>
          <w:color w:val="auto"/>
          <w:sz w:val="30"/>
          <w:szCs w:val="30"/>
          <w:lang w:val="en-US" w:eastAsia="zh-CN"/>
        </w:rPr>
        <w:t>通过燃烧然煤锅炉对沥青油在储罐内加热，沥青油分层，上部油类物质转运销售，下部沉淀交给资质单位处置。</w:t>
      </w:r>
    </w:p>
    <w:p>
      <w:pPr>
        <w:pStyle w:val="6"/>
        <w:bidi w:val="0"/>
        <w:outlineLvl w:val="0"/>
        <w:rPr>
          <w:rFonts w:hint="default" w:ascii="Times New Roman" w:hAnsi="Times New Roman" w:eastAsia="仿宋" w:cs="Times New Roman"/>
          <w:color w:val="auto"/>
        </w:rPr>
      </w:pPr>
      <w:bookmarkStart w:id="14" w:name="_Toc14691"/>
      <w:r>
        <w:rPr>
          <w:rFonts w:hint="default" w:ascii="Times New Roman" w:hAnsi="Times New Roman" w:eastAsia="仿宋" w:cs="Times New Roman"/>
          <w:color w:val="auto"/>
        </w:rPr>
        <w:t>2.3原辅料及产品情况</w:t>
      </w:r>
      <w:bookmarkEnd w:id="14"/>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企业涉及的原辅料主要为</w:t>
      </w:r>
      <w:r>
        <w:rPr>
          <w:rFonts w:hint="eastAsia" w:eastAsia="仿宋" w:cs="Times New Roman"/>
          <w:color w:val="auto"/>
          <w:sz w:val="30"/>
          <w:szCs w:val="30"/>
          <w:lang w:val="en-US" w:eastAsia="zh-CN"/>
        </w:rPr>
        <w:t>沥青油、水、点</w:t>
      </w:r>
      <w:r>
        <w:rPr>
          <w:rFonts w:hint="default" w:ascii="Times New Roman" w:hAnsi="Times New Roman" w:eastAsia="仿宋" w:cs="Times New Roman"/>
          <w:color w:val="auto"/>
          <w:sz w:val="30"/>
          <w:szCs w:val="30"/>
          <w:lang w:val="en-US" w:eastAsia="zh-CN"/>
        </w:rPr>
        <w:t>。其具体情况一览表如下表所示。</w:t>
      </w:r>
    </w:p>
    <w:p>
      <w:pPr>
        <w:bidi w:val="0"/>
        <w:ind w:left="0" w:leftChars="0" w:firstLine="0" w:firstLineChars="0"/>
        <w:jc w:val="center"/>
        <w:rPr>
          <w:rStyle w:val="18"/>
          <w:rFonts w:hint="default" w:ascii="Times New Roman" w:hAnsi="Times New Roman" w:eastAsia="仿宋" w:cs="Times New Roman"/>
          <w:color w:val="auto"/>
          <w:sz w:val="24"/>
          <w:szCs w:val="24"/>
          <w:lang w:val="en-US" w:eastAsia="zh-CN"/>
        </w:rPr>
      </w:pPr>
      <w:r>
        <w:rPr>
          <w:rStyle w:val="18"/>
          <w:rFonts w:hint="default" w:ascii="Times New Roman" w:hAnsi="Times New Roman" w:eastAsia="仿宋" w:cs="Times New Roman"/>
          <w:color w:val="auto"/>
          <w:sz w:val="24"/>
          <w:szCs w:val="24"/>
          <w:lang w:val="en-US" w:eastAsia="zh-CN"/>
        </w:rPr>
        <w:t>表2-2企业原辅料清单</w:t>
      </w:r>
    </w:p>
    <w:tbl>
      <w:tblPr>
        <w:tblStyle w:val="13"/>
        <w:tblW w:w="7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958"/>
        <w:gridCol w:w="1152"/>
        <w:gridCol w:w="1760"/>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6" w:type="dxa"/>
            <w:vAlign w:val="center"/>
          </w:tcPr>
          <w:p>
            <w:pPr>
              <w:pStyle w:val="20"/>
              <w:bidi w:val="0"/>
              <w:rPr>
                <w:rFonts w:hint="default" w:ascii="Times New Roman" w:hAnsi="Times New Roman" w:eastAsia="仿宋" w:cs="Times New Roman"/>
                <w:color w:val="auto"/>
              </w:rPr>
            </w:pPr>
            <w:r>
              <w:rPr>
                <w:rFonts w:hint="default" w:ascii="Times New Roman" w:hAnsi="Times New Roman" w:eastAsia="仿宋" w:cs="Times New Roman"/>
                <w:color w:val="auto"/>
              </w:rPr>
              <w:t>序号</w:t>
            </w:r>
          </w:p>
        </w:tc>
        <w:tc>
          <w:tcPr>
            <w:tcW w:w="1958" w:type="dxa"/>
            <w:vAlign w:val="center"/>
          </w:tcPr>
          <w:p>
            <w:pPr>
              <w:pStyle w:val="20"/>
              <w:bidi w:val="0"/>
              <w:rPr>
                <w:rFonts w:hint="default" w:ascii="Times New Roman" w:hAnsi="Times New Roman" w:eastAsia="仿宋" w:cs="Times New Roman"/>
                <w:color w:val="auto"/>
              </w:rPr>
            </w:pPr>
            <w:r>
              <w:rPr>
                <w:rFonts w:hint="default" w:ascii="Times New Roman" w:hAnsi="Times New Roman" w:eastAsia="仿宋" w:cs="Times New Roman"/>
                <w:color w:val="auto"/>
              </w:rPr>
              <w:t>材料名称</w:t>
            </w:r>
          </w:p>
        </w:tc>
        <w:tc>
          <w:tcPr>
            <w:tcW w:w="1152" w:type="dxa"/>
            <w:vAlign w:val="center"/>
          </w:tcPr>
          <w:p>
            <w:pPr>
              <w:pStyle w:val="20"/>
              <w:bidi w:val="0"/>
              <w:rPr>
                <w:rFonts w:hint="default" w:ascii="Times New Roman" w:hAnsi="Times New Roman" w:eastAsia="仿宋" w:cs="Times New Roman"/>
                <w:color w:val="auto"/>
              </w:rPr>
            </w:pPr>
            <w:r>
              <w:rPr>
                <w:rFonts w:hint="default" w:ascii="Times New Roman" w:hAnsi="Times New Roman" w:eastAsia="仿宋" w:cs="Times New Roman"/>
                <w:color w:val="auto"/>
              </w:rPr>
              <w:t>单位</w:t>
            </w:r>
          </w:p>
        </w:tc>
        <w:tc>
          <w:tcPr>
            <w:tcW w:w="1760" w:type="dxa"/>
            <w:vAlign w:val="center"/>
          </w:tcPr>
          <w:p>
            <w:pPr>
              <w:pStyle w:val="20"/>
              <w:tabs>
                <w:tab w:val="left" w:pos="336"/>
                <w:tab w:val="center" w:pos="594"/>
              </w:tabs>
              <w:bidi w:val="0"/>
              <w:jc w:val="left"/>
              <w:rPr>
                <w:rFonts w:hint="default" w:ascii="Times New Roman" w:hAnsi="Times New Roman" w:eastAsia="仿宋" w:cs="Times New Roman"/>
                <w:color w:val="auto"/>
              </w:rPr>
            </w:pPr>
            <w:r>
              <w:rPr>
                <w:rFonts w:hint="default" w:ascii="Times New Roman" w:hAnsi="Times New Roman" w:eastAsia="仿宋" w:cs="Times New Roman"/>
                <w:color w:val="auto"/>
                <w:lang w:eastAsia="zh-CN"/>
              </w:rPr>
              <w:tab/>
            </w:r>
            <w:r>
              <w:rPr>
                <w:rFonts w:hint="default" w:ascii="Times New Roman" w:hAnsi="Times New Roman" w:eastAsia="仿宋" w:cs="Times New Roman"/>
                <w:color w:val="auto"/>
                <w:lang w:val="en-US" w:eastAsia="zh-CN"/>
              </w:rPr>
              <w:t>年耗电</w:t>
            </w:r>
            <w:r>
              <w:rPr>
                <w:rFonts w:hint="default" w:ascii="Times New Roman" w:hAnsi="Times New Roman" w:eastAsia="仿宋" w:cs="Times New Roman"/>
                <w:color w:val="auto"/>
              </w:rPr>
              <w:t>量</w:t>
            </w:r>
            <w:r>
              <w:rPr>
                <w:rFonts w:hint="default" w:ascii="Times New Roman" w:hAnsi="Times New Roman" w:eastAsia="仿宋" w:cs="Times New Roman"/>
                <w:color w:val="auto"/>
                <w:lang w:val="en-US" w:eastAsia="zh-CN"/>
              </w:rPr>
              <w:t>(t/a)</w:t>
            </w:r>
          </w:p>
        </w:tc>
        <w:tc>
          <w:tcPr>
            <w:tcW w:w="1486" w:type="dxa"/>
            <w:vAlign w:val="center"/>
          </w:tcPr>
          <w:p>
            <w:pPr>
              <w:pStyle w:val="20"/>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6" w:type="dxa"/>
            <w:vAlign w:val="center"/>
          </w:tcPr>
          <w:p>
            <w:pPr>
              <w:pStyle w:val="20"/>
              <w:bidi w:val="0"/>
              <w:ind w:firstLine="0" w:firstLineChars="0"/>
              <w:rPr>
                <w:rFonts w:hint="default" w:ascii="Times New Roman" w:hAnsi="Times New Roman" w:eastAsia="仿宋" w:cs="Times New Roman"/>
                <w:color w:val="auto"/>
                <w:kern w:val="2"/>
                <w:sz w:val="21"/>
                <w:szCs w:val="22"/>
                <w:lang w:val="en-US" w:eastAsia="zh-CN" w:bidi="ar-SA"/>
              </w:rPr>
            </w:pPr>
            <w:r>
              <w:rPr>
                <w:rFonts w:hint="default" w:ascii="Times New Roman" w:hAnsi="Times New Roman" w:eastAsia="仿宋" w:cs="Times New Roman"/>
                <w:color w:val="auto"/>
                <w:lang w:eastAsia="zh-CN"/>
              </w:rPr>
              <w:t>1</w:t>
            </w:r>
          </w:p>
        </w:tc>
        <w:tc>
          <w:tcPr>
            <w:tcW w:w="1958" w:type="dxa"/>
            <w:vAlign w:val="center"/>
          </w:tcPr>
          <w:p>
            <w:pPr>
              <w:pStyle w:val="20"/>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水</w:t>
            </w:r>
          </w:p>
        </w:tc>
        <w:tc>
          <w:tcPr>
            <w:tcW w:w="1152" w:type="dxa"/>
            <w:vAlign w:val="center"/>
          </w:tcPr>
          <w:p>
            <w:pPr>
              <w:pStyle w:val="20"/>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t</w:t>
            </w:r>
          </w:p>
        </w:tc>
        <w:tc>
          <w:tcPr>
            <w:tcW w:w="1760" w:type="dxa"/>
            <w:vAlign w:val="center"/>
          </w:tcPr>
          <w:p>
            <w:pPr>
              <w:pStyle w:val="20"/>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1000</w:t>
            </w:r>
          </w:p>
        </w:tc>
        <w:tc>
          <w:tcPr>
            <w:tcW w:w="1486" w:type="dxa"/>
            <w:vAlign w:val="center"/>
          </w:tcPr>
          <w:p>
            <w:pPr>
              <w:pStyle w:val="20"/>
              <w:bidi w:val="0"/>
              <w:rPr>
                <w:rFonts w:hint="default" w:ascii="Times New Roman" w:hAnsi="Times New Roman" w:eastAsia="仿宋"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6" w:type="dxa"/>
            <w:vAlign w:val="center"/>
          </w:tcPr>
          <w:p>
            <w:pPr>
              <w:pStyle w:val="20"/>
              <w:bidi w:val="0"/>
              <w:ind w:firstLine="0" w:firstLineChars="0"/>
              <w:rPr>
                <w:rFonts w:hint="default" w:ascii="Times New Roman" w:hAnsi="Times New Roman" w:eastAsia="仿宋" w:cs="Times New Roman"/>
                <w:color w:val="auto"/>
                <w:kern w:val="2"/>
                <w:sz w:val="21"/>
                <w:szCs w:val="22"/>
                <w:lang w:val="en-US" w:eastAsia="zh-CN" w:bidi="ar-SA"/>
              </w:rPr>
            </w:pPr>
            <w:r>
              <w:rPr>
                <w:rFonts w:hint="default" w:ascii="Times New Roman" w:hAnsi="Times New Roman" w:eastAsia="仿宋" w:cs="Times New Roman"/>
                <w:color w:val="auto"/>
                <w:lang w:eastAsia="zh-CN"/>
              </w:rPr>
              <w:t>2</w:t>
            </w:r>
          </w:p>
        </w:tc>
        <w:tc>
          <w:tcPr>
            <w:tcW w:w="1958"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电</w:t>
            </w:r>
          </w:p>
        </w:tc>
        <w:tc>
          <w:tcPr>
            <w:tcW w:w="1152"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KWH</w:t>
            </w:r>
          </w:p>
        </w:tc>
        <w:tc>
          <w:tcPr>
            <w:tcW w:w="1760" w:type="dxa"/>
            <w:vAlign w:val="center"/>
          </w:tcPr>
          <w:p>
            <w:pPr>
              <w:pStyle w:val="20"/>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1500</w:t>
            </w:r>
          </w:p>
        </w:tc>
        <w:tc>
          <w:tcPr>
            <w:tcW w:w="1486"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6" w:type="dxa"/>
            <w:vAlign w:val="center"/>
          </w:tcPr>
          <w:p>
            <w:pPr>
              <w:pStyle w:val="20"/>
              <w:bidi w:val="0"/>
              <w:ind w:firstLine="0" w:firstLineChars="0"/>
              <w:rPr>
                <w:rFonts w:hint="default" w:ascii="Times New Roman" w:hAnsi="Times New Roman" w:eastAsia="仿宋" w:cs="Times New Roman"/>
                <w:color w:val="auto"/>
                <w:kern w:val="2"/>
                <w:sz w:val="21"/>
                <w:szCs w:val="22"/>
                <w:lang w:val="en-US" w:eastAsia="zh-CN" w:bidi="ar-SA"/>
              </w:rPr>
            </w:pPr>
            <w:r>
              <w:rPr>
                <w:rFonts w:hint="default" w:ascii="Times New Roman" w:hAnsi="Times New Roman" w:eastAsia="仿宋" w:cs="Times New Roman"/>
                <w:color w:val="auto"/>
                <w:lang w:val="en-US" w:eastAsia="zh-CN"/>
              </w:rPr>
              <w:t>3</w:t>
            </w:r>
          </w:p>
        </w:tc>
        <w:tc>
          <w:tcPr>
            <w:tcW w:w="1958"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燃煤</w:t>
            </w:r>
          </w:p>
        </w:tc>
        <w:tc>
          <w:tcPr>
            <w:tcW w:w="1152"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t</w:t>
            </w:r>
          </w:p>
        </w:tc>
        <w:tc>
          <w:tcPr>
            <w:tcW w:w="1760" w:type="dxa"/>
            <w:vAlign w:val="center"/>
          </w:tcPr>
          <w:p>
            <w:pPr>
              <w:pStyle w:val="20"/>
              <w:bidi w:val="0"/>
              <w:ind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180</w:t>
            </w:r>
          </w:p>
        </w:tc>
        <w:tc>
          <w:tcPr>
            <w:tcW w:w="1486"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6" w:type="dxa"/>
            <w:vAlign w:val="center"/>
          </w:tcPr>
          <w:p>
            <w:pPr>
              <w:pStyle w:val="20"/>
              <w:bidi w:val="0"/>
              <w:ind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4</w:t>
            </w:r>
          </w:p>
        </w:tc>
        <w:tc>
          <w:tcPr>
            <w:tcW w:w="1958" w:type="dxa"/>
            <w:vAlign w:val="center"/>
          </w:tcPr>
          <w:p>
            <w:pPr>
              <w:pStyle w:val="19"/>
              <w:bidi w:val="0"/>
              <w:rPr>
                <w:rFonts w:hint="eastAsia" w:eastAsia="仿宋" w:cs="Times New Roman"/>
                <w:color w:val="auto"/>
                <w:lang w:val="en-US" w:eastAsia="zh-CN"/>
              </w:rPr>
            </w:pPr>
            <w:r>
              <w:rPr>
                <w:rFonts w:hint="eastAsia" w:eastAsia="仿宋" w:cs="Times New Roman"/>
                <w:color w:val="auto"/>
                <w:lang w:val="en-US" w:eastAsia="zh-CN"/>
              </w:rPr>
              <w:t>沥青油</w:t>
            </w:r>
          </w:p>
        </w:tc>
        <w:tc>
          <w:tcPr>
            <w:tcW w:w="1152"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t</w:t>
            </w:r>
          </w:p>
        </w:tc>
        <w:tc>
          <w:tcPr>
            <w:tcW w:w="1760" w:type="dxa"/>
            <w:vAlign w:val="center"/>
          </w:tcPr>
          <w:p>
            <w:pPr>
              <w:pStyle w:val="20"/>
              <w:bidi w:val="0"/>
              <w:ind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500</w:t>
            </w:r>
          </w:p>
        </w:tc>
        <w:tc>
          <w:tcPr>
            <w:tcW w:w="1486"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p>
        </w:tc>
      </w:tr>
    </w:tbl>
    <w:p>
      <w:pPr>
        <w:bidi w:val="0"/>
        <w:ind w:left="0" w:leftChars="0" w:firstLine="0" w:firstLineChars="0"/>
        <w:jc w:val="center"/>
        <w:rPr>
          <w:rFonts w:hint="default" w:ascii="Times New Roman" w:hAnsi="Times New Roman" w:eastAsia="仿宋" w:cs="Times New Roman"/>
          <w:color w:val="auto"/>
          <w:sz w:val="30"/>
          <w:szCs w:val="30"/>
          <w:vertAlign w:val="baseline"/>
          <w:lang w:val="en-US" w:eastAsia="zh-CN"/>
        </w:rPr>
      </w:pPr>
      <w:r>
        <w:rPr>
          <w:rStyle w:val="18"/>
          <w:rFonts w:hint="default" w:ascii="Times New Roman" w:hAnsi="Times New Roman" w:eastAsia="仿宋" w:cs="Times New Roman"/>
          <w:color w:val="auto"/>
          <w:sz w:val="24"/>
          <w:szCs w:val="24"/>
          <w:lang w:val="en-US" w:eastAsia="zh-CN"/>
        </w:rPr>
        <w:t>表2-3企业产品一览表</w:t>
      </w:r>
    </w:p>
    <w:tbl>
      <w:tblPr>
        <w:tblStyle w:val="13"/>
        <w:tblW w:w="602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11"/>
        <w:gridCol w:w="2424"/>
        <w:gridCol w:w="1276"/>
        <w:gridCol w:w="151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 w:hRule="atLeast"/>
          <w:jc w:val="center"/>
        </w:trPr>
        <w:tc>
          <w:tcPr>
            <w:tcW w:w="811"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序号</w:t>
            </w:r>
          </w:p>
        </w:tc>
        <w:tc>
          <w:tcPr>
            <w:tcW w:w="2424"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产品名称</w:t>
            </w:r>
          </w:p>
        </w:tc>
        <w:tc>
          <w:tcPr>
            <w:tcW w:w="1276" w:type="dxa"/>
            <w:vAlign w:val="center"/>
          </w:tcPr>
          <w:p>
            <w:pPr>
              <w:pStyle w:val="19"/>
              <w:bidi w:val="0"/>
              <w:rPr>
                <w:rFonts w:hint="default" w:ascii="Times New Roman" w:hAnsi="Times New Roman" w:eastAsia="仿宋" w:cs="Times New Roman"/>
                <w:color w:val="auto"/>
                <w:lang w:eastAsia="zh-CN"/>
              </w:rPr>
            </w:pPr>
            <w:r>
              <w:rPr>
                <w:rFonts w:hint="default" w:ascii="Times New Roman" w:hAnsi="Times New Roman" w:eastAsia="仿宋" w:cs="Times New Roman"/>
                <w:color w:val="auto"/>
                <w:lang w:val="en-US" w:eastAsia="zh-CN"/>
              </w:rPr>
              <w:t>年产量</w:t>
            </w:r>
          </w:p>
        </w:tc>
        <w:tc>
          <w:tcPr>
            <w:tcW w:w="1511"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811" w:type="dxa"/>
            <w:vAlign w:val="center"/>
          </w:tcPr>
          <w:p>
            <w:pPr>
              <w:pStyle w:val="19"/>
              <w:numPr>
                <w:ilvl w:val="0"/>
                <w:numId w:val="4"/>
              </w:numPr>
              <w:tabs>
                <w:tab w:val="left" w:pos="420"/>
              </w:tabs>
              <w:bidi w:val="0"/>
              <w:ind w:left="425" w:leftChars="0" w:hanging="425" w:firstLineChars="0"/>
              <w:rPr>
                <w:rFonts w:hint="default" w:ascii="Times New Roman" w:hAnsi="Times New Roman" w:eastAsia="仿宋" w:cs="Times New Roman"/>
                <w:color w:val="auto"/>
              </w:rPr>
            </w:pPr>
          </w:p>
        </w:tc>
        <w:tc>
          <w:tcPr>
            <w:tcW w:w="2424"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矿物油</w:t>
            </w:r>
          </w:p>
        </w:tc>
        <w:tc>
          <w:tcPr>
            <w:tcW w:w="1276"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200</w:t>
            </w:r>
            <w:r>
              <w:rPr>
                <w:rFonts w:hint="default" w:ascii="Times New Roman" w:hAnsi="Times New Roman" w:eastAsia="仿宋" w:cs="Times New Roman"/>
                <w:color w:val="auto"/>
                <w:lang w:val="en-US" w:eastAsia="zh-CN"/>
              </w:rPr>
              <w:t>t</w:t>
            </w:r>
          </w:p>
        </w:tc>
        <w:tc>
          <w:tcPr>
            <w:tcW w:w="1511"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罐</w:t>
            </w:r>
            <w:r>
              <w:rPr>
                <w:rFonts w:hint="default" w:ascii="Times New Roman" w:hAnsi="Times New Roman" w:eastAsia="仿宋" w:cs="Times New Roman"/>
                <w:color w:val="auto"/>
                <w:lang w:val="en-US" w:eastAsia="zh-CN"/>
              </w:rPr>
              <w:t>装</w:t>
            </w:r>
          </w:p>
        </w:tc>
      </w:tr>
    </w:tbl>
    <w:p>
      <w:pPr>
        <w:pStyle w:val="6"/>
        <w:bidi w:val="0"/>
        <w:outlineLvl w:val="0"/>
        <w:rPr>
          <w:rFonts w:hint="default" w:ascii="Times New Roman" w:hAnsi="Times New Roman" w:eastAsia="仿宋" w:cs="Times New Roman"/>
          <w:color w:val="auto"/>
        </w:rPr>
      </w:pPr>
      <w:bookmarkStart w:id="15" w:name="_Toc17408"/>
      <w:r>
        <w:rPr>
          <w:rFonts w:hint="default" w:ascii="Times New Roman" w:hAnsi="Times New Roman" w:eastAsia="仿宋" w:cs="Times New Roman"/>
          <w:color w:val="auto"/>
        </w:rPr>
        <w:t>2.4生产工艺及产排污环节</w:t>
      </w:r>
      <w:bookmarkEnd w:id="15"/>
    </w:p>
    <w:p>
      <w:pPr>
        <w:bidi w:val="0"/>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lang w:eastAsia="zh-CN"/>
        </w:rPr>
        <w:t>项目</w:t>
      </w:r>
      <w:r>
        <w:rPr>
          <w:rFonts w:hint="default" w:ascii="Times New Roman" w:hAnsi="Times New Roman" w:eastAsia="仿宋" w:cs="Times New Roman"/>
          <w:color w:val="auto"/>
          <w:sz w:val="30"/>
          <w:szCs w:val="30"/>
        </w:rPr>
        <w:t>生产工艺流程及产污环节如下图。</w:t>
      </w:r>
    </w:p>
    <w:p>
      <w:pPr>
        <w:pStyle w:val="6"/>
        <w:keepNext w:val="0"/>
        <w:keepLines w:val="0"/>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9"/>
        <w:rPr>
          <w:rFonts w:hint="default" w:ascii="Times New Roman" w:hAnsi="Times New Roman" w:eastAsia="仿宋" w:cs="Times New Roman"/>
          <w:color w:val="auto"/>
          <w:sz w:val="24"/>
        </w:rPr>
      </w:pPr>
      <w:r>
        <w:drawing>
          <wp:inline distT="0" distB="0" distL="114300" distR="114300">
            <wp:extent cx="5265420" cy="1451610"/>
            <wp:effectExtent l="0" t="0" r="11430" b="152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265420" cy="1451610"/>
                    </a:xfrm>
                    <a:prstGeom prst="rect">
                      <a:avLst/>
                    </a:prstGeom>
                    <a:noFill/>
                    <a:ln>
                      <a:noFill/>
                    </a:ln>
                  </pic:spPr>
                </pic:pic>
              </a:graphicData>
            </a:graphic>
          </wp:inline>
        </w:drawing>
      </w:r>
    </w:p>
    <w:p>
      <w:pPr>
        <w:spacing w:line="360" w:lineRule="auto"/>
        <w:ind w:left="0" w:leftChars="0" w:firstLine="0" w:firstLineChars="0"/>
        <w:jc w:val="center"/>
        <w:rPr>
          <w:rFonts w:hint="default" w:ascii="Times New Roman" w:hAnsi="Times New Roman" w:eastAsia="仿宋" w:cs="Times New Roman"/>
          <w:b/>
          <w:bCs/>
          <w:color w:val="auto"/>
          <w:szCs w:val="21"/>
        </w:rPr>
      </w:pPr>
      <w:r>
        <w:rPr>
          <w:rFonts w:hint="default" w:ascii="Times New Roman" w:hAnsi="Times New Roman" w:eastAsia="仿宋" w:cs="Times New Roman"/>
          <w:b/>
          <w:bCs/>
          <w:color w:val="auto"/>
          <w:szCs w:val="21"/>
        </w:rPr>
        <w:t>图2-1</w:t>
      </w:r>
      <w:r>
        <w:rPr>
          <w:rFonts w:hint="default" w:ascii="Times New Roman" w:hAnsi="Times New Roman" w:eastAsia="仿宋" w:cs="Times New Roman"/>
          <w:b/>
          <w:bCs/>
          <w:color w:val="auto"/>
          <w:szCs w:val="21"/>
          <w:lang w:val="en-US" w:eastAsia="zh-CN"/>
        </w:rPr>
        <w:t xml:space="preserve"> </w:t>
      </w:r>
      <w:r>
        <w:rPr>
          <w:rFonts w:hint="default" w:ascii="Times New Roman" w:hAnsi="Times New Roman" w:eastAsia="仿宋" w:cs="Times New Roman"/>
          <w:b/>
          <w:bCs/>
          <w:color w:val="auto"/>
          <w:szCs w:val="21"/>
        </w:rPr>
        <w:t>工艺流程及产污环节图</w:t>
      </w:r>
    </w:p>
    <w:p>
      <w:pPr>
        <w:pStyle w:val="10"/>
        <w:numPr>
          <w:ilvl w:val="0"/>
          <w:numId w:val="0"/>
        </w:numPr>
        <w:spacing w:line="360" w:lineRule="auto"/>
        <w:rPr>
          <w:rFonts w:hint="default" w:ascii="Times New Roman" w:hAnsi="Times New Roman" w:eastAsia="仿宋" w:cs="Times New Roman"/>
          <w:color w:val="auto"/>
          <w:sz w:val="30"/>
          <w:szCs w:val="30"/>
          <w:lang w:eastAsia="zh-CN"/>
        </w:rPr>
      </w:pPr>
      <w:bookmarkStart w:id="16" w:name="OLE_LINK2"/>
      <w:r>
        <w:rPr>
          <w:rFonts w:hint="default" w:ascii="Times New Roman" w:hAnsi="Times New Roman" w:eastAsia="仿宋" w:cs="Times New Roman"/>
          <w:color w:val="auto"/>
          <w:sz w:val="30"/>
          <w:szCs w:val="30"/>
          <w:lang w:eastAsia="zh-CN"/>
        </w:rPr>
        <w:t>工艺说明：</w:t>
      </w:r>
      <w:bookmarkEnd w:id="16"/>
    </w:p>
    <w:p>
      <w:pPr>
        <w:pStyle w:val="10"/>
        <w:numPr>
          <w:ilvl w:val="0"/>
          <w:numId w:val="0"/>
        </w:numPr>
        <w:spacing w:line="360" w:lineRule="auto"/>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①</w:t>
      </w:r>
      <w:r>
        <w:rPr>
          <w:rFonts w:hint="eastAsia" w:eastAsia="仿宋" w:cs="Times New Roman"/>
          <w:color w:val="auto"/>
          <w:sz w:val="30"/>
          <w:szCs w:val="30"/>
          <w:lang w:val="en-US" w:eastAsia="zh-CN"/>
        </w:rPr>
        <w:t>储运过程</w:t>
      </w:r>
    </w:p>
    <w:p>
      <w:pPr>
        <w:spacing w:line="360" w:lineRule="auto"/>
        <w:rPr>
          <w:rFonts w:hint="default" w:ascii="Times New Roman" w:hAnsi="Times New Roman" w:eastAsia="仿宋" w:cs="Times New Roman"/>
          <w:color w:val="auto"/>
        </w:rPr>
      </w:pPr>
      <w:r>
        <w:rPr>
          <w:rFonts w:hint="eastAsia" w:eastAsia="仿宋" w:cs="Times New Roman"/>
          <w:color w:val="auto"/>
          <w:sz w:val="30"/>
          <w:szCs w:val="30"/>
          <w:lang w:val="en-US" w:eastAsia="zh-CN"/>
        </w:rPr>
        <w:t>废沥青油通过外部槽罐车运输至厂区，通过车载离心泵输送至工厂储罐内储存</w:t>
      </w:r>
      <w:r>
        <w:rPr>
          <w:rFonts w:hint="default" w:ascii="Times New Roman" w:hAnsi="Times New Roman" w:eastAsia="仿宋" w:cs="Times New Roman"/>
          <w:color w:val="auto"/>
          <w:sz w:val="30"/>
          <w:szCs w:val="30"/>
          <w:lang w:val="en-US" w:eastAsia="zh-CN"/>
        </w:rPr>
        <w:t>。</w:t>
      </w:r>
    </w:p>
    <w:p>
      <w:pPr>
        <w:spacing w:line="360" w:lineRule="auto"/>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lang w:val="en-US" w:eastAsia="zh-CN"/>
        </w:rPr>
        <w:t>②</w:t>
      </w:r>
      <w:r>
        <w:rPr>
          <w:rFonts w:hint="eastAsia" w:eastAsia="仿宋" w:cs="Times New Roman"/>
          <w:color w:val="auto"/>
          <w:sz w:val="30"/>
          <w:szCs w:val="30"/>
          <w:lang w:val="en-US" w:eastAsia="zh-CN"/>
        </w:rPr>
        <w:t>加热过程</w:t>
      </w:r>
    </w:p>
    <w:p>
      <w:pPr>
        <w:spacing w:line="360" w:lineRule="auto"/>
        <w:ind w:firstLine="48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通过锅炉燃烧煤炭加热形成蒸气，蒸气通过管道通入储罐内加热废沥青，沥青加热后粘度降低，沥青中的石块会沉淀下来</w:t>
      </w:r>
      <w:r>
        <w:rPr>
          <w:rFonts w:hint="default" w:ascii="Times New Roman" w:hAnsi="Times New Roman" w:eastAsia="仿宋" w:cs="Times New Roman"/>
          <w:color w:val="auto"/>
          <w:sz w:val="30"/>
          <w:szCs w:val="30"/>
          <w:lang w:val="en-US" w:eastAsia="zh-CN"/>
        </w:rPr>
        <w:t>。</w:t>
      </w:r>
    </w:p>
    <w:p>
      <w:pPr>
        <w:spacing w:line="360" w:lineRule="auto"/>
        <w:ind w:firstLine="48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③</w:t>
      </w:r>
      <w:r>
        <w:rPr>
          <w:rFonts w:hint="eastAsia" w:eastAsia="仿宋" w:cs="Times New Roman"/>
          <w:color w:val="auto"/>
          <w:sz w:val="30"/>
          <w:szCs w:val="30"/>
          <w:lang w:val="en-US" w:eastAsia="zh-CN"/>
        </w:rPr>
        <w:t>清运过程</w:t>
      </w:r>
    </w:p>
    <w:p>
      <w:pPr>
        <w:spacing w:line="360" w:lineRule="auto"/>
        <w:ind w:firstLine="480"/>
        <w:rPr>
          <w:rFonts w:hint="eastAsia" w:eastAsia="仿宋" w:cs="Times New Roman"/>
          <w:color w:val="auto"/>
          <w:sz w:val="30"/>
          <w:szCs w:val="30"/>
          <w:lang w:val="en-US" w:eastAsia="zh-CN"/>
        </w:rPr>
      </w:pPr>
      <w:r>
        <w:rPr>
          <w:rFonts w:hint="eastAsia" w:eastAsia="仿宋" w:cs="Times New Roman"/>
          <w:color w:val="auto"/>
          <w:sz w:val="30"/>
          <w:szCs w:val="30"/>
          <w:lang w:val="en-US" w:eastAsia="zh-CN"/>
        </w:rPr>
        <w:t>通过离心泵将储罐中的上清液油类物质抽出至槽罐车上运出厂区销售。</w:t>
      </w:r>
    </w:p>
    <w:p>
      <w:pPr>
        <w:pStyle w:val="6"/>
        <w:bidi w:val="0"/>
        <w:outlineLvl w:val="0"/>
        <w:rPr>
          <w:rFonts w:hint="default" w:ascii="Times New Roman" w:hAnsi="Times New Roman" w:eastAsia="仿宋" w:cs="Times New Roman"/>
          <w:color w:val="auto"/>
        </w:rPr>
      </w:pPr>
      <w:bookmarkStart w:id="17" w:name="_Toc30831"/>
      <w:r>
        <w:rPr>
          <w:rFonts w:hint="default" w:ascii="Times New Roman" w:hAnsi="Times New Roman" w:eastAsia="仿宋" w:cs="Times New Roman"/>
          <w:color w:val="auto"/>
        </w:rPr>
        <w:t>2.5涉及的有毒有害物质</w:t>
      </w:r>
      <w:bookmarkEnd w:id="17"/>
    </w:p>
    <w:p>
      <w:pPr>
        <w:jc w:val="center"/>
        <w:rPr>
          <w:rFonts w:hint="default" w:ascii="Times New Roman" w:hAnsi="Times New Roman" w:eastAsia="仿宋" w:cs="Times New Roman"/>
          <w:b/>
          <w:bCs/>
          <w:color w:val="auto"/>
          <w:sz w:val="22"/>
          <w:szCs w:val="22"/>
        </w:rPr>
      </w:pPr>
      <w:r>
        <w:rPr>
          <w:rFonts w:hint="default" w:ascii="Times New Roman" w:hAnsi="Times New Roman" w:eastAsia="仿宋" w:cs="Times New Roman"/>
          <w:b/>
          <w:bCs/>
          <w:color w:val="auto"/>
          <w:sz w:val="22"/>
          <w:szCs w:val="22"/>
          <w:lang w:eastAsia="zh-CN"/>
        </w:rPr>
        <w:t>表</w:t>
      </w:r>
      <w:r>
        <w:rPr>
          <w:rFonts w:hint="default" w:ascii="Times New Roman" w:hAnsi="Times New Roman" w:eastAsia="仿宋" w:cs="Times New Roman"/>
          <w:b/>
          <w:bCs/>
          <w:color w:val="auto"/>
          <w:sz w:val="22"/>
          <w:szCs w:val="22"/>
          <w:lang w:val="en-US" w:eastAsia="zh-CN"/>
        </w:rPr>
        <w:t>2-4</w:t>
      </w:r>
      <w:r>
        <w:rPr>
          <w:rFonts w:hint="default" w:ascii="Times New Roman" w:hAnsi="Times New Roman" w:eastAsia="仿宋" w:cs="Times New Roman"/>
          <w:b/>
          <w:bCs/>
          <w:color w:val="auto"/>
          <w:sz w:val="22"/>
          <w:szCs w:val="22"/>
          <w:lang w:eastAsia="zh-CN"/>
        </w:rPr>
        <w:t>有毒有害物质</w:t>
      </w:r>
      <w:r>
        <w:rPr>
          <w:rFonts w:hint="default" w:ascii="Times New Roman" w:hAnsi="Times New Roman" w:eastAsia="仿宋" w:cs="Times New Roman"/>
          <w:b/>
          <w:bCs/>
          <w:color w:val="auto"/>
          <w:sz w:val="22"/>
          <w:szCs w:val="22"/>
        </w:rPr>
        <w:t>信息表</w:t>
      </w:r>
    </w:p>
    <w:tbl>
      <w:tblPr>
        <w:tblStyle w:val="13"/>
        <w:tblW w:w="866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9"/>
        <w:gridCol w:w="1716"/>
        <w:gridCol w:w="1314"/>
        <w:gridCol w:w="1475"/>
        <w:gridCol w:w="34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trPr>
        <w:tc>
          <w:tcPr>
            <w:tcW w:w="679"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序号</w:t>
            </w:r>
          </w:p>
        </w:tc>
        <w:tc>
          <w:tcPr>
            <w:tcW w:w="1716"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品名</w:t>
            </w:r>
          </w:p>
        </w:tc>
        <w:tc>
          <w:tcPr>
            <w:tcW w:w="1314"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危险化学品</w:t>
            </w:r>
          </w:p>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目录序号</w:t>
            </w:r>
          </w:p>
        </w:tc>
        <w:tc>
          <w:tcPr>
            <w:tcW w:w="1475"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CAS号</w:t>
            </w:r>
          </w:p>
        </w:tc>
        <w:tc>
          <w:tcPr>
            <w:tcW w:w="3478"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危险性类别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79"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1</w:t>
            </w:r>
          </w:p>
        </w:tc>
        <w:tc>
          <w:tcPr>
            <w:tcW w:w="1716" w:type="dxa"/>
            <w:vAlign w:val="center"/>
          </w:tcPr>
          <w:p>
            <w:pPr>
              <w:pStyle w:val="19"/>
              <w:bidi w:val="0"/>
              <w:ind w:left="0" w:leftChars="0" w:right="0" w:rightChars="0" w:firstLine="0" w:firstLineChars="0"/>
              <w:rPr>
                <w:rFonts w:hint="default" w:ascii="Times New Roman" w:hAnsi="Times New Roman" w:eastAsia="仿宋" w:cs="Times New Roman"/>
                <w:color w:val="auto"/>
              </w:rPr>
            </w:pPr>
            <w:r>
              <w:rPr>
                <w:rFonts w:hint="eastAsia" w:eastAsia="仿宋" w:cs="Times New Roman"/>
                <w:color w:val="auto"/>
                <w:lang w:val="en-US" w:eastAsia="zh-CN"/>
              </w:rPr>
              <w:t>废沥青油</w:t>
            </w:r>
          </w:p>
        </w:tc>
        <w:tc>
          <w:tcPr>
            <w:tcW w:w="1314"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2256</w:t>
            </w:r>
          </w:p>
        </w:tc>
        <w:tc>
          <w:tcPr>
            <w:tcW w:w="1475" w:type="dxa"/>
            <w:vAlign w:val="center"/>
          </w:tcPr>
          <w:p>
            <w:pPr>
              <w:pStyle w:val="19"/>
              <w:bidi w:val="0"/>
              <w:rPr>
                <w:rFonts w:hint="default" w:ascii="Times New Roman" w:hAnsi="Times New Roman" w:eastAsia="仿宋" w:cs="Times New Roman"/>
                <w:color w:val="auto"/>
              </w:rPr>
            </w:pPr>
            <w:r>
              <w:rPr>
                <w:rFonts w:hint="default" w:ascii="Times New Roman" w:hAnsi="Times New Roman" w:eastAsia="仿宋" w:cs="Times New Roman"/>
                <w:color w:val="auto"/>
              </w:rPr>
              <w:t>7733-02-0</w:t>
            </w:r>
          </w:p>
        </w:tc>
        <w:tc>
          <w:tcPr>
            <w:tcW w:w="3478" w:type="dxa"/>
            <w:vAlign w:val="center"/>
          </w:tcPr>
          <w:p>
            <w:pPr>
              <w:pStyle w:val="19"/>
              <w:bidi w:val="0"/>
              <w:jc w:val="center"/>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w:t>
            </w:r>
          </w:p>
        </w:tc>
      </w:tr>
    </w:tbl>
    <w:p>
      <w:pPr>
        <w:pStyle w:val="6"/>
        <w:bidi w:val="0"/>
        <w:outlineLvl w:val="0"/>
        <w:rPr>
          <w:rFonts w:hint="default" w:ascii="Times New Roman" w:hAnsi="Times New Roman" w:eastAsia="仿宋" w:cs="Times New Roman"/>
          <w:color w:val="auto"/>
        </w:rPr>
      </w:pPr>
      <w:bookmarkStart w:id="18" w:name="_Toc28930"/>
      <w:r>
        <w:rPr>
          <w:rFonts w:hint="default" w:ascii="Times New Roman" w:hAnsi="Times New Roman" w:eastAsia="仿宋" w:cs="Times New Roman"/>
          <w:color w:val="auto"/>
        </w:rPr>
        <w:t>2.6污染防治措施</w:t>
      </w:r>
      <w:bookmarkEnd w:id="18"/>
    </w:p>
    <w:p>
      <w:pPr>
        <w:bidi w:val="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u w:val="none"/>
          <w:lang w:eastAsia="zh-CN"/>
        </w:rPr>
        <w:t>项目</w:t>
      </w:r>
      <w:r>
        <w:rPr>
          <w:rFonts w:hint="default" w:ascii="Times New Roman" w:hAnsi="Times New Roman" w:eastAsia="仿宋" w:cs="Times New Roman"/>
          <w:color w:val="auto"/>
          <w:sz w:val="30"/>
          <w:szCs w:val="30"/>
          <w:u w:val="none"/>
        </w:rPr>
        <w:t>主要污染源</w:t>
      </w:r>
      <w:r>
        <w:rPr>
          <w:rFonts w:hint="default" w:ascii="Times New Roman" w:hAnsi="Times New Roman" w:eastAsia="仿宋" w:cs="Times New Roman"/>
          <w:color w:val="auto"/>
          <w:sz w:val="30"/>
          <w:szCs w:val="30"/>
          <w:u w:val="none"/>
          <w:lang w:eastAsia="zh-CN"/>
        </w:rPr>
        <w:t>包括固废</w:t>
      </w:r>
      <w:r>
        <w:rPr>
          <w:rFonts w:hint="eastAsia" w:eastAsia="仿宋" w:cs="Times New Roman"/>
          <w:color w:val="auto"/>
          <w:sz w:val="30"/>
          <w:szCs w:val="30"/>
          <w:u w:val="none"/>
          <w:lang w:eastAsia="zh-CN"/>
        </w:rPr>
        <w:t>、废气</w:t>
      </w:r>
      <w:r>
        <w:rPr>
          <w:rFonts w:hint="default" w:ascii="Times New Roman" w:hAnsi="Times New Roman" w:eastAsia="仿宋" w:cs="Times New Roman"/>
          <w:color w:val="auto"/>
          <w:sz w:val="30"/>
          <w:szCs w:val="30"/>
          <w:u w:val="none"/>
          <w:lang w:eastAsia="zh-CN"/>
        </w:rPr>
        <w:t>。</w:t>
      </w:r>
      <w:r>
        <w:rPr>
          <w:rFonts w:hint="eastAsia" w:eastAsia="仿宋" w:cs="Times New Roman"/>
          <w:color w:val="auto"/>
          <w:sz w:val="30"/>
          <w:szCs w:val="30"/>
          <w:u w:val="none"/>
          <w:lang w:eastAsia="zh-CN"/>
        </w:rPr>
        <w:t>废气主要是燃烧锅炉产生的废气。</w:t>
      </w:r>
      <w:r>
        <w:rPr>
          <w:rFonts w:hint="default" w:ascii="Times New Roman" w:hAnsi="Times New Roman" w:eastAsia="仿宋" w:cs="Times New Roman"/>
          <w:color w:val="auto"/>
          <w:sz w:val="30"/>
          <w:szCs w:val="30"/>
          <w:u w:val="none"/>
          <w:lang w:eastAsia="zh-CN"/>
        </w:rPr>
        <w:t>固废包括</w:t>
      </w:r>
      <w:r>
        <w:rPr>
          <w:rFonts w:hint="eastAsia" w:eastAsia="仿宋" w:cs="Times New Roman"/>
          <w:color w:val="auto"/>
          <w:sz w:val="30"/>
          <w:szCs w:val="30"/>
          <w:u w:val="none"/>
          <w:lang w:eastAsia="zh-CN"/>
        </w:rPr>
        <w:t>加热废沥青油剩下的残渣</w:t>
      </w:r>
      <w:r>
        <w:rPr>
          <w:rFonts w:hint="default" w:ascii="Times New Roman" w:hAnsi="Times New Roman" w:eastAsia="仿宋" w:cs="Times New Roman"/>
          <w:color w:val="auto"/>
          <w:sz w:val="30"/>
          <w:szCs w:val="30"/>
          <w:u w:val="none"/>
          <w:lang w:eastAsia="zh-CN"/>
        </w:rPr>
        <w:t>。</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一、大气污染防治措施</w:t>
      </w:r>
    </w:p>
    <w:p>
      <w:pPr>
        <w:bidi w:val="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锅炉</w:t>
      </w:r>
      <w:r>
        <w:rPr>
          <w:rFonts w:hint="default" w:ascii="Times New Roman" w:hAnsi="Times New Roman" w:eastAsia="仿宋" w:cs="Times New Roman"/>
          <w:color w:val="auto"/>
          <w:sz w:val="30"/>
          <w:szCs w:val="30"/>
          <w:lang w:val="en-US" w:eastAsia="zh-CN"/>
        </w:rPr>
        <w:t>产生的粉尘采用布袋除尘器处理为无组织排放，员工配备防尘口罩、防尘工作服和防尘工作帽；运输扬尘采取定期洒水的污染防治措施。</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二、水污染防治措施</w:t>
      </w:r>
    </w:p>
    <w:p>
      <w:pPr>
        <w:numPr>
          <w:ilvl w:val="0"/>
          <w:numId w:val="0"/>
        </w:numPr>
        <w:bidi w:val="0"/>
        <w:ind w:firstLine="600" w:firstLineChars="200"/>
        <w:rPr>
          <w:rFonts w:hint="default" w:ascii="Times New Roman" w:hAnsi="Times New Roman" w:eastAsia="仿宋" w:cs="Times New Roman"/>
          <w:color w:val="auto"/>
          <w:sz w:val="30"/>
          <w:szCs w:val="30"/>
          <w:u w:val="none"/>
        </w:rPr>
      </w:pPr>
      <w:r>
        <w:rPr>
          <w:rFonts w:hint="eastAsia" w:eastAsia="仿宋" w:cs="Times New Roman"/>
          <w:color w:val="auto"/>
          <w:sz w:val="30"/>
          <w:szCs w:val="30"/>
          <w:lang w:val="en-US" w:eastAsia="zh-CN"/>
        </w:rPr>
        <w:t>本项目无废水产生</w:t>
      </w:r>
      <w:r>
        <w:rPr>
          <w:rFonts w:hint="default" w:ascii="Times New Roman" w:hAnsi="Times New Roman" w:eastAsia="仿宋" w:cs="Times New Roman"/>
          <w:color w:val="auto"/>
          <w:sz w:val="30"/>
          <w:szCs w:val="30"/>
          <w:u w:val="none"/>
        </w:rPr>
        <w:t>。</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三、固废污染防治措施</w:t>
      </w:r>
    </w:p>
    <w:p>
      <w:pPr>
        <w:bidi w:val="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项目会产生部分沉淀物作为危险废物暂存在厂区的危废暂存间，定期交给资质单位处理</w:t>
      </w:r>
      <w:r>
        <w:rPr>
          <w:rFonts w:hint="default" w:ascii="Times New Roman" w:hAnsi="Times New Roman" w:eastAsia="仿宋" w:cs="Times New Roman"/>
          <w:color w:val="auto"/>
          <w:sz w:val="30"/>
          <w:szCs w:val="30"/>
          <w:lang w:val="en-US" w:eastAsia="zh-CN"/>
        </w:rPr>
        <w:t>。</w:t>
      </w:r>
    </w:p>
    <w:p>
      <w:pPr>
        <w:numPr>
          <w:ilvl w:val="0"/>
          <w:numId w:val="0"/>
        </w:numPr>
        <w:bidi w:val="0"/>
        <w:ind w:firstLine="600" w:firstLineChars="200"/>
        <w:rPr>
          <w:rFonts w:hint="default" w:ascii="Times New Roman" w:hAnsi="Times New Roman" w:eastAsia="仿宋" w:cs="Times New Roman"/>
          <w:b w:val="0"/>
          <w:bCs w:val="0"/>
          <w:color w:val="auto"/>
          <w:sz w:val="30"/>
          <w:szCs w:val="30"/>
          <w:lang w:val="en-US" w:eastAsia="zh-CN"/>
        </w:rPr>
      </w:pPr>
      <w:r>
        <w:rPr>
          <w:rFonts w:hint="default" w:ascii="Times New Roman" w:hAnsi="Times New Roman" w:eastAsia="仿宋" w:cs="Times New Roman"/>
          <w:b w:val="0"/>
          <w:bCs w:val="0"/>
          <w:color w:val="auto"/>
          <w:sz w:val="30"/>
          <w:szCs w:val="30"/>
          <w:lang w:val="en-US" w:eastAsia="zh-CN"/>
        </w:rPr>
        <w:t>四、土壤污染防治措施</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（1）源头控制</w:t>
      </w:r>
    </w:p>
    <w:p>
      <w:pPr>
        <w:spacing w:line="360" w:lineRule="auto"/>
        <w:ind w:firstLine="600" w:firstLineChars="200"/>
        <w:rPr>
          <w:rFonts w:hint="default" w:ascii="Times New Roman" w:hAnsi="Times New Roman" w:eastAsia="仿宋" w:cs="Times New Roman"/>
          <w:color w:val="auto"/>
          <w:sz w:val="30"/>
          <w:szCs w:val="30"/>
          <w:u w:val="none"/>
          <w:lang w:eastAsia="zh-CN"/>
        </w:rPr>
      </w:pPr>
      <w:r>
        <w:rPr>
          <w:rFonts w:hint="default" w:ascii="Times New Roman" w:hAnsi="Times New Roman" w:eastAsia="仿宋" w:cs="Times New Roman"/>
          <w:color w:val="auto"/>
          <w:sz w:val="30"/>
          <w:szCs w:val="30"/>
          <w:u w:val="none"/>
        </w:rPr>
        <w:t>本项目选择先进、成熟、可靠的工艺技术和较清洁的原辅材料，并对产生的废物进行合理的回用和治理，以尽可能从源头上减少污染物排放，生产区、设备、原料及</w:t>
      </w:r>
      <w:r>
        <w:rPr>
          <w:rFonts w:hint="default" w:ascii="Times New Roman" w:hAnsi="Times New Roman" w:eastAsia="仿宋" w:cs="Times New Roman"/>
          <w:color w:val="auto"/>
          <w:sz w:val="30"/>
          <w:szCs w:val="30"/>
          <w:u w:val="none"/>
          <w:lang w:eastAsia="zh-CN"/>
        </w:rPr>
        <w:t>池体应</w:t>
      </w:r>
      <w:r>
        <w:rPr>
          <w:rFonts w:hint="default" w:ascii="Times New Roman" w:hAnsi="Times New Roman" w:eastAsia="仿宋" w:cs="Times New Roman"/>
          <w:color w:val="auto"/>
          <w:sz w:val="30"/>
          <w:szCs w:val="30"/>
          <w:u w:val="none"/>
        </w:rPr>
        <w:t>采取相应措施并加强维护，防止和降低污染物跑、冒、滴、漏。在设计</w:t>
      </w:r>
      <w:r>
        <w:rPr>
          <w:rFonts w:hint="default" w:ascii="Times New Roman" w:hAnsi="Times New Roman" w:eastAsia="仿宋" w:cs="Times New Roman"/>
          <w:color w:val="auto"/>
          <w:sz w:val="30"/>
          <w:szCs w:val="30"/>
          <w:u w:val="none"/>
          <w:lang w:eastAsia="zh-CN"/>
        </w:rPr>
        <w:t>池体</w:t>
      </w:r>
      <w:r>
        <w:rPr>
          <w:rFonts w:hint="default" w:ascii="Times New Roman" w:hAnsi="Times New Roman" w:eastAsia="仿宋" w:cs="Times New Roman"/>
          <w:color w:val="auto"/>
          <w:sz w:val="30"/>
          <w:szCs w:val="30"/>
          <w:u w:val="none"/>
        </w:rPr>
        <w:t>的围堰时，考虑</w:t>
      </w:r>
      <w:r>
        <w:rPr>
          <w:rFonts w:hint="default" w:ascii="Times New Roman" w:hAnsi="Times New Roman" w:eastAsia="仿宋" w:cs="Times New Roman"/>
          <w:color w:val="auto"/>
          <w:sz w:val="30"/>
          <w:szCs w:val="30"/>
          <w:u w:val="none"/>
          <w:lang w:eastAsia="zh-CN"/>
        </w:rPr>
        <w:t>污水</w:t>
      </w:r>
      <w:r>
        <w:rPr>
          <w:rFonts w:hint="default" w:ascii="Times New Roman" w:hAnsi="Times New Roman" w:eastAsia="仿宋" w:cs="Times New Roman"/>
          <w:color w:val="auto"/>
          <w:sz w:val="30"/>
          <w:szCs w:val="30"/>
          <w:u w:val="none"/>
        </w:rPr>
        <w:t>泄漏时能将</w:t>
      </w:r>
      <w:r>
        <w:rPr>
          <w:rFonts w:hint="default" w:ascii="Times New Roman" w:hAnsi="Times New Roman" w:eastAsia="仿宋" w:cs="Times New Roman"/>
          <w:color w:val="auto"/>
          <w:sz w:val="30"/>
          <w:szCs w:val="30"/>
          <w:u w:val="none"/>
          <w:lang w:eastAsia="zh-CN"/>
        </w:rPr>
        <w:t>废水</w:t>
      </w:r>
      <w:r>
        <w:rPr>
          <w:rFonts w:hint="default" w:ascii="Times New Roman" w:hAnsi="Times New Roman" w:eastAsia="仿宋" w:cs="Times New Roman"/>
          <w:color w:val="auto"/>
          <w:sz w:val="30"/>
          <w:szCs w:val="30"/>
          <w:u w:val="none"/>
        </w:rPr>
        <w:t>全部限制在围堰内并能够回收，防止</w:t>
      </w:r>
      <w:r>
        <w:rPr>
          <w:rFonts w:hint="default" w:ascii="Times New Roman" w:hAnsi="Times New Roman" w:eastAsia="仿宋" w:cs="Times New Roman"/>
          <w:color w:val="auto"/>
          <w:sz w:val="30"/>
          <w:szCs w:val="30"/>
          <w:u w:val="none"/>
          <w:lang w:eastAsia="zh-CN"/>
        </w:rPr>
        <w:t>废水</w:t>
      </w:r>
      <w:r>
        <w:rPr>
          <w:rFonts w:hint="default" w:ascii="Times New Roman" w:hAnsi="Times New Roman" w:eastAsia="仿宋" w:cs="Times New Roman"/>
          <w:color w:val="auto"/>
          <w:sz w:val="30"/>
          <w:szCs w:val="30"/>
          <w:u w:val="none"/>
        </w:rPr>
        <w:t>流出</w:t>
      </w:r>
      <w:r>
        <w:rPr>
          <w:rFonts w:hint="default" w:ascii="Times New Roman" w:hAnsi="Times New Roman" w:eastAsia="仿宋" w:cs="Times New Roman"/>
          <w:color w:val="auto"/>
          <w:sz w:val="30"/>
          <w:szCs w:val="30"/>
          <w:u w:val="none"/>
          <w:lang w:eastAsia="zh-CN"/>
        </w:rPr>
        <w:t>池体</w:t>
      </w:r>
      <w:r>
        <w:rPr>
          <w:rFonts w:hint="default" w:ascii="Times New Roman" w:hAnsi="Times New Roman" w:eastAsia="仿宋" w:cs="Times New Roman"/>
          <w:color w:val="auto"/>
          <w:sz w:val="30"/>
          <w:szCs w:val="30"/>
          <w:u w:val="none"/>
        </w:rPr>
        <w:t>。硬化围堰内地面，防止污染厂区地下水和土壤</w:t>
      </w:r>
      <w:r>
        <w:rPr>
          <w:rFonts w:hint="default" w:ascii="Times New Roman" w:hAnsi="Times New Roman" w:eastAsia="仿宋" w:cs="Times New Roman"/>
          <w:color w:val="auto"/>
          <w:sz w:val="30"/>
          <w:szCs w:val="30"/>
          <w:u w:val="none"/>
          <w:lang w:eastAsia="zh-CN"/>
        </w:rPr>
        <w:t>。</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（2）分区防控</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根据《环境影响评价技术导则-地下水环境》（HJ610-2016），并结合各生产功能单元可能产生污染的地区，本次评价将项目区划分为重点污染防渗区、一般污染防渗区和简单防渗区，并按要求进行地表防渗。</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①重点污染防渗区：重点污染防渗区是指对地下水环境有较大污染的物料或污染物泄漏后，不能及时发现和处理的区域或部位。主要包括</w:t>
      </w:r>
      <w:r>
        <w:rPr>
          <w:rFonts w:hint="default" w:ascii="Times New Roman" w:hAnsi="Times New Roman" w:eastAsia="仿宋" w:cs="Times New Roman"/>
          <w:color w:val="auto"/>
          <w:sz w:val="30"/>
          <w:szCs w:val="30"/>
          <w:u w:val="none"/>
          <w:lang w:eastAsia="zh-CN"/>
        </w:rPr>
        <w:t>原料仓库、成品仓库、污水处理站、浮选车间、车间沉淀池、应急事故池</w:t>
      </w:r>
      <w:r>
        <w:rPr>
          <w:rFonts w:hint="default" w:ascii="Times New Roman" w:hAnsi="Times New Roman" w:eastAsia="仿宋" w:cs="Times New Roman"/>
          <w:color w:val="auto"/>
          <w:sz w:val="30"/>
          <w:szCs w:val="30"/>
          <w:u w:val="none"/>
        </w:rPr>
        <w:t>等。</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②一般污染防渗区：一般污染防渗区是指对地下水环境有污染的物料或污染物泄漏后，可及时发现和处理的区域或部位，主要包括</w:t>
      </w:r>
      <w:r>
        <w:rPr>
          <w:rFonts w:hint="default" w:ascii="Times New Roman" w:hAnsi="Times New Roman" w:eastAsia="仿宋" w:cs="Times New Roman"/>
          <w:color w:val="auto"/>
          <w:sz w:val="30"/>
          <w:szCs w:val="30"/>
          <w:u w:val="none"/>
          <w:lang w:eastAsia="zh-CN"/>
        </w:rPr>
        <w:t>破碎车间、筛分车间</w:t>
      </w:r>
      <w:r>
        <w:rPr>
          <w:rFonts w:hint="default" w:ascii="Times New Roman" w:hAnsi="Times New Roman" w:eastAsia="仿宋" w:cs="Times New Roman"/>
          <w:color w:val="auto"/>
          <w:sz w:val="30"/>
          <w:szCs w:val="30"/>
          <w:u w:val="none"/>
        </w:rPr>
        <w:t>等区域。</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③简单防渗区：简单防渗区是指一般和重点污染防治区以外的区域或部位。主要包括办公区</w:t>
      </w:r>
      <w:r>
        <w:rPr>
          <w:rFonts w:hint="default" w:ascii="Times New Roman" w:hAnsi="Times New Roman" w:eastAsia="仿宋" w:cs="Times New Roman"/>
          <w:color w:val="auto"/>
          <w:sz w:val="30"/>
          <w:szCs w:val="30"/>
          <w:u w:val="none"/>
          <w:lang w:eastAsia="zh-CN"/>
        </w:rPr>
        <w:t>、食堂</w:t>
      </w:r>
      <w:r>
        <w:rPr>
          <w:rFonts w:hint="default" w:ascii="Times New Roman" w:hAnsi="Times New Roman" w:eastAsia="仿宋" w:cs="Times New Roman"/>
          <w:color w:val="auto"/>
          <w:sz w:val="30"/>
          <w:szCs w:val="30"/>
          <w:u w:val="none"/>
        </w:rPr>
        <w:t>等</w:t>
      </w:r>
      <w:r>
        <w:rPr>
          <w:rFonts w:hint="default" w:ascii="Times New Roman" w:hAnsi="Times New Roman" w:eastAsia="仿宋" w:cs="Times New Roman"/>
          <w:color w:val="auto"/>
          <w:sz w:val="30"/>
          <w:szCs w:val="30"/>
          <w:u w:val="none"/>
          <w:lang w:eastAsia="zh-CN"/>
        </w:rPr>
        <w:t>区域</w:t>
      </w:r>
      <w:r>
        <w:rPr>
          <w:rFonts w:hint="default" w:ascii="Times New Roman" w:hAnsi="Times New Roman" w:eastAsia="仿宋" w:cs="Times New Roman"/>
          <w:color w:val="auto"/>
          <w:sz w:val="30"/>
          <w:szCs w:val="30"/>
          <w:u w:val="none"/>
        </w:rPr>
        <w:t>。</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厂区污染防渗措施参照《环境影响评价技术导则-地下水环境》（HJ610-2016）规定的防渗标准，结合目前施工过程中的可操作性和技术水平，针对不同的防渗区域采用局部防渗措施，满足防渗标准要求。</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防渗技术要求如下：</w:t>
      </w:r>
    </w:p>
    <w:p>
      <w:pPr>
        <w:spacing w:line="360" w:lineRule="auto"/>
        <w:ind w:firstLine="600" w:firstLineChars="200"/>
        <w:rPr>
          <w:rFonts w:hint="default" w:ascii="Times New Roman" w:hAnsi="Times New Roman" w:eastAsia="仿宋" w:cs="Times New Roman"/>
          <w:color w:val="auto"/>
          <w:sz w:val="30"/>
          <w:szCs w:val="30"/>
          <w:u w:val="none"/>
          <w:lang w:eastAsia="zh-CN"/>
        </w:rPr>
      </w:pPr>
      <w:r>
        <w:rPr>
          <w:rFonts w:hint="default" w:ascii="Times New Roman" w:hAnsi="Times New Roman" w:eastAsia="仿宋" w:cs="Times New Roman"/>
          <w:color w:val="auto"/>
          <w:sz w:val="30"/>
          <w:szCs w:val="30"/>
          <w:u w:val="none"/>
        </w:rPr>
        <w:t>a.重点污染防渗区参照《环境影响评价技术导则-地下水环境》（HJ610-2016），重点污染防渗区防渗层的防渗性能应等效于6.0m厚渗透系数为1.0×10</w:t>
      </w:r>
      <w:r>
        <w:rPr>
          <w:rFonts w:hint="default" w:ascii="Times New Roman" w:hAnsi="Times New Roman" w:eastAsia="仿宋" w:cs="Times New Roman"/>
          <w:color w:val="auto"/>
          <w:sz w:val="30"/>
          <w:szCs w:val="30"/>
          <w:u w:val="none"/>
          <w:vertAlign w:val="superscript"/>
        </w:rPr>
        <w:t>-7</w:t>
      </w:r>
      <w:r>
        <w:rPr>
          <w:rFonts w:hint="default" w:ascii="Times New Roman" w:hAnsi="Times New Roman" w:eastAsia="仿宋" w:cs="Times New Roman"/>
          <w:color w:val="auto"/>
          <w:sz w:val="30"/>
          <w:szCs w:val="30"/>
          <w:u w:val="none"/>
        </w:rPr>
        <w:t>cm/s的黏土层的防渗性能。</w:t>
      </w:r>
    </w:p>
    <w:p>
      <w:pPr>
        <w:spacing w:line="360" w:lineRule="auto"/>
        <w:ind w:firstLine="600" w:firstLineChars="200"/>
        <w:rPr>
          <w:rFonts w:hint="default" w:ascii="Times New Roman" w:hAnsi="Times New Roman" w:eastAsia="仿宋" w:cs="Times New Roman"/>
          <w:color w:val="auto"/>
          <w:sz w:val="30"/>
          <w:szCs w:val="30"/>
          <w:u w:val="none"/>
          <w:lang w:eastAsia="zh-CN"/>
        </w:rPr>
      </w:pPr>
      <w:r>
        <w:rPr>
          <w:rFonts w:hint="default" w:ascii="Times New Roman" w:hAnsi="Times New Roman" w:eastAsia="仿宋" w:cs="Times New Roman"/>
          <w:color w:val="auto"/>
          <w:sz w:val="30"/>
          <w:szCs w:val="30"/>
          <w:u w:val="none"/>
        </w:rPr>
        <w:t>b.一般污染防渗区《环境影响评价技术导则-地下水环境》（HJ610-2016），一般污染防渗区防渗层的防渗性能应等效于1.5m厚渗透系数为1.0×10</w:t>
      </w:r>
      <w:r>
        <w:rPr>
          <w:rFonts w:hint="default" w:ascii="Times New Roman" w:hAnsi="Times New Roman" w:eastAsia="仿宋" w:cs="Times New Roman"/>
          <w:color w:val="auto"/>
          <w:sz w:val="30"/>
          <w:szCs w:val="30"/>
          <w:u w:val="none"/>
          <w:vertAlign w:val="superscript"/>
        </w:rPr>
        <w:t>-7</w:t>
      </w:r>
      <w:r>
        <w:rPr>
          <w:rFonts w:hint="default" w:ascii="Times New Roman" w:hAnsi="Times New Roman" w:eastAsia="仿宋" w:cs="Times New Roman"/>
          <w:color w:val="auto"/>
          <w:sz w:val="30"/>
          <w:szCs w:val="30"/>
          <w:u w:val="none"/>
        </w:rPr>
        <w:t>cm/s的黏土层的防渗性能。</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c.简单防渗区只需对基础以下采取原土夯实，使渗透系数不大于1.0×10</w:t>
      </w:r>
      <w:r>
        <w:rPr>
          <w:rFonts w:hint="default" w:ascii="Times New Roman" w:hAnsi="Times New Roman" w:eastAsia="仿宋" w:cs="Times New Roman"/>
          <w:color w:val="auto"/>
          <w:sz w:val="30"/>
          <w:szCs w:val="30"/>
          <w:u w:val="none"/>
          <w:vertAlign w:val="superscript"/>
        </w:rPr>
        <w:t>-6</w:t>
      </w:r>
      <w:r>
        <w:rPr>
          <w:rFonts w:hint="default" w:ascii="Times New Roman" w:hAnsi="Times New Roman" w:eastAsia="仿宋" w:cs="Times New Roman"/>
          <w:color w:val="auto"/>
          <w:sz w:val="30"/>
          <w:szCs w:val="30"/>
          <w:u w:val="none"/>
        </w:rPr>
        <w:t>cm/s，即可达到防渗的目的。</w:t>
      </w:r>
    </w:p>
    <w:p>
      <w:pPr>
        <w:spacing w:line="360" w:lineRule="auto"/>
        <w:ind w:firstLine="600" w:firstLineChars="200"/>
        <w:rPr>
          <w:rFonts w:hint="default" w:ascii="Times New Roman" w:hAnsi="Times New Roman" w:eastAsia="仿宋" w:cs="Times New Roman"/>
          <w:color w:val="auto"/>
          <w:sz w:val="30"/>
          <w:szCs w:val="30"/>
          <w:u w:val="none"/>
        </w:rPr>
      </w:pPr>
      <w:r>
        <w:rPr>
          <w:rFonts w:hint="default" w:ascii="Times New Roman" w:hAnsi="Times New Roman" w:eastAsia="仿宋" w:cs="Times New Roman"/>
          <w:color w:val="auto"/>
          <w:sz w:val="30"/>
          <w:szCs w:val="30"/>
          <w:u w:val="none"/>
        </w:rPr>
        <w:t>（3）污染监控体系</w:t>
      </w:r>
    </w:p>
    <w:p>
      <w:pPr>
        <w:bidi w:val="0"/>
        <w:rPr>
          <w:rFonts w:hint="default" w:ascii="Times New Roman" w:hAnsi="Times New Roman" w:eastAsia="仿宋" w:cs="Times New Roman"/>
          <w:color w:val="auto"/>
          <w:sz w:val="30"/>
          <w:szCs w:val="30"/>
          <w:u w:val="none"/>
          <w:lang w:val="en-US" w:eastAsia="zh-CN"/>
        </w:rPr>
      </w:pPr>
      <w:r>
        <w:rPr>
          <w:rFonts w:hint="default" w:ascii="Times New Roman" w:hAnsi="Times New Roman" w:eastAsia="仿宋" w:cs="Times New Roman"/>
          <w:color w:val="auto"/>
          <w:sz w:val="30"/>
          <w:szCs w:val="30"/>
          <w:u w:val="none"/>
        </w:rPr>
        <w:t>根据厂区</w:t>
      </w:r>
      <w:r>
        <w:rPr>
          <w:rFonts w:hint="default" w:ascii="Times New Roman" w:hAnsi="Times New Roman" w:eastAsia="仿宋" w:cs="Times New Roman"/>
          <w:color w:val="auto"/>
          <w:sz w:val="30"/>
          <w:szCs w:val="30"/>
          <w:u w:val="none"/>
          <w:lang w:eastAsia="zh-CN"/>
        </w:rPr>
        <w:t>现有的对照井、监测井等地下水监测点位定期进行</w:t>
      </w:r>
      <w:r>
        <w:rPr>
          <w:rFonts w:hint="default" w:ascii="Times New Roman" w:hAnsi="Times New Roman" w:eastAsia="仿宋" w:cs="Times New Roman"/>
          <w:color w:val="auto"/>
          <w:sz w:val="30"/>
          <w:szCs w:val="30"/>
          <w:u w:val="none"/>
        </w:rPr>
        <w:t>地下水监测。</w:t>
      </w:r>
    </w:p>
    <w:p>
      <w:pPr>
        <w:pStyle w:val="6"/>
        <w:bidi w:val="0"/>
        <w:outlineLvl w:val="0"/>
        <w:rPr>
          <w:rFonts w:hint="default" w:ascii="Times New Roman" w:hAnsi="Times New Roman" w:eastAsia="仿宋" w:cs="Times New Roman"/>
          <w:color w:val="auto"/>
        </w:rPr>
      </w:pPr>
      <w:bookmarkStart w:id="19" w:name="_Toc19860"/>
      <w:r>
        <w:rPr>
          <w:rFonts w:hint="default" w:ascii="Times New Roman" w:hAnsi="Times New Roman" w:eastAsia="仿宋" w:cs="Times New Roman"/>
          <w:color w:val="auto"/>
        </w:rPr>
        <w:t>2.7历史土壤和地下水环境监测信息</w:t>
      </w:r>
      <w:bookmarkEnd w:id="19"/>
    </w:p>
    <w:p>
      <w:pPr>
        <w:bidi w:val="0"/>
        <w:ind w:left="0" w:leftChars="0" w:firstLine="0" w:firstLineChars="0"/>
        <w:rPr>
          <w:rFonts w:hint="eastAsia" w:ascii="Times New Roman" w:hAnsi="Times New Roman" w:eastAsia="仿宋" w:cs="Times New Roman"/>
          <w:color w:val="auto"/>
          <w:sz w:val="30"/>
          <w:szCs w:val="30"/>
          <w:u w:val="none"/>
          <w:lang w:eastAsia="zh-CN"/>
        </w:rPr>
      </w:pPr>
      <w:r>
        <w:rPr>
          <w:rFonts w:hint="eastAsia" w:ascii="Times New Roman" w:hAnsi="Times New Roman" w:eastAsia="仿宋" w:cs="Times New Roman"/>
          <w:color w:val="auto"/>
          <w:sz w:val="30"/>
          <w:szCs w:val="30"/>
          <w:u w:val="none"/>
          <w:lang w:eastAsia="zh-CN"/>
        </w:rPr>
        <w:t>厂区无</w:t>
      </w:r>
      <w:r>
        <w:rPr>
          <w:rFonts w:hint="eastAsia" w:eastAsia="仿宋" w:cs="Times New Roman"/>
          <w:color w:val="auto"/>
          <w:sz w:val="30"/>
          <w:szCs w:val="30"/>
          <w:u w:val="none"/>
          <w:lang w:eastAsia="zh-CN"/>
        </w:rPr>
        <w:t>土壤地下水</w:t>
      </w:r>
      <w:r>
        <w:rPr>
          <w:rFonts w:hint="eastAsia" w:ascii="Times New Roman" w:hAnsi="Times New Roman" w:eastAsia="仿宋" w:cs="Times New Roman"/>
          <w:color w:val="auto"/>
          <w:sz w:val="30"/>
          <w:szCs w:val="30"/>
          <w:u w:val="none"/>
          <w:lang w:eastAsia="zh-CN"/>
        </w:rPr>
        <w:t>历史监测信息</w:t>
      </w:r>
    </w:p>
    <w:p>
      <w:pPr>
        <w:pStyle w:val="7"/>
        <w:rPr>
          <w:rFonts w:hint="eastAsia" w:ascii="Times New Roman" w:hAnsi="Times New Roman" w:eastAsia="仿宋" w:cs="Times New Roman"/>
          <w:color w:val="auto"/>
          <w:sz w:val="30"/>
          <w:szCs w:val="30"/>
          <w:u w:val="none"/>
          <w:lang w:eastAsia="zh-CN"/>
        </w:rPr>
      </w:pPr>
    </w:p>
    <w:p>
      <w:pPr>
        <w:bidi w:val="0"/>
        <w:rPr>
          <w:rFonts w:hint="eastAsia"/>
          <w:lang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3"/>
        <w:numPr>
          <w:ilvl w:val="0"/>
          <w:numId w:val="0"/>
        </w:numPr>
        <w:bidi w:val="0"/>
        <w:jc w:val="center"/>
        <w:rPr>
          <w:rFonts w:hint="default" w:ascii="Times New Roman" w:hAnsi="Times New Roman" w:eastAsia="仿宋" w:cs="Times New Roman"/>
          <w:color w:val="auto"/>
        </w:rPr>
      </w:pPr>
      <w:bookmarkStart w:id="20" w:name="_Toc3371"/>
      <w:r>
        <w:rPr>
          <w:rFonts w:hint="default" w:ascii="Times New Roman" w:hAnsi="Times New Roman" w:eastAsia="仿宋" w:cs="Times New Roman"/>
          <w:color w:val="auto"/>
        </w:rPr>
        <w:t>3排查方法</w:t>
      </w:r>
      <w:bookmarkEnd w:id="20"/>
    </w:p>
    <w:p>
      <w:pPr>
        <w:pStyle w:val="6"/>
        <w:bidi w:val="0"/>
        <w:outlineLvl w:val="0"/>
        <w:rPr>
          <w:rFonts w:hint="default" w:ascii="Times New Roman" w:hAnsi="Times New Roman" w:eastAsia="仿宋" w:cs="Times New Roman"/>
          <w:color w:val="auto"/>
        </w:rPr>
      </w:pPr>
      <w:bookmarkStart w:id="21" w:name="_Toc5620"/>
      <w:r>
        <w:rPr>
          <w:rFonts w:hint="default" w:ascii="Times New Roman" w:hAnsi="Times New Roman" w:eastAsia="仿宋" w:cs="Times New Roman"/>
          <w:color w:val="auto"/>
        </w:rPr>
        <w:t>3.1资料收集</w:t>
      </w:r>
      <w:bookmarkEnd w:id="21"/>
    </w:p>
    <w:p>
      <w:pPr>
        <w:rPr>
          <w:rFonts w:hint="default" w:ascii="Times New Roman" w:hAnsi="Times New Roman" w:eastAsia="仿宋" w:cs="Times New Roman"/>
          <w:color w:val="auto"/>
          <w:sz w:val="30"/>
          <w:szCs w:val="30"/>
          <w:lang w:eastAsia="zh-CN"/>
        </w:rPr>
      </w:pPr>
      <w:r>
        <w:rPr>
          <w:rFonts w:hint="default" w:ascii="Times New Roman" w:hAnsi="Times New Roman" w:eastAsia="仿宋" w:cs="Times New Roman"/>
          <w:color w:val="auto"/>
          <w:sz w:val="30"/>
          <w:szCs w:val="30"/>
          <w:lang w:eastAsia="zh-CN"/>
        </w:rPr>
        <w:t>本次土壤隐患排查收集的资料包括：企业基本信息资料、企业生产信息资料、企业环境管理信息资料、企业重点场所、设施设备管理情况资料。</w:t>
      </w:r>
    </w:p>
    <w:p>
      <w:pPr>
        <w:pStyle w:val="7"/>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3.1.1企业基本信息资料</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1.企业总平面布置图及面积</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厂区总体呈不规则形，</w:t>
      </w:r>
      <w:r>
        <w:rPr>
          <w:rFonts w:hint="eastAsia" w:eastAsia="仿宋" w:cs="Times New Roman"/>
          <w:color w:val="auto"/>
          <w:sz w:val="30"/>
          <w:szCs w:val="30"/>
          <w:lang w:val="en-US" w:eastAsia="zh-CN"/>
        </w:rPr>
        <w:t>厂区</w:t>
      </w:r>
      <w:r>
        <w:rPr>
          <w:rFonts w:hint="default" w:ascii="Times New Roman" w:hAnsi="Times New Roman" w:eastAsia="仿宋" w:cs="Times New Roman"/>
          <w:color w:val="auto"/>
          <w:sz w:val="30"/>
          <w:szCs w:val="30"/>
          <w:lang w:val="en-US" w:eastAsia="zh-CN"/>
        </w:rPr>
        <w:t>建设用地面积为</w:t>
      </w:r>
      <w:r>
        <w:rPr>
          <w:rFonts w:hint="eastAsia" w:eastAsia="仿宋" w:cs="Times New Roman"/>
          <w:color w:val="auto"/>
          <w:sz w:val="30"/>
          <w:szCs w:val="30"/>
          <w:lang w:val="en-US" w:eastAsia="zh-CN"/>
        </w:rPr>
        <w:t>1820</w:t>
      </w:r>
      <w:r>
        <w:rPr>
          <w:rFonts w:hint="default" w:ascii="Times New Roman" w:hAnsi="Times New Roman" w:eastAsia="仿宋" w:cs="Times New Roman"/>
          <w:color w:val="auto"/>
          <w:sz w:val="30"/>
          <w:szCs w:val="30"/>
          <w:lang w:val="en-US" w:eastAsia="zh-CN"/>
        </w:rPr>
        <w:t>m</w:t>
      </w:r>
      <w:r>
        <w:rPr>
          <w:rFonts w:hint="default" w:ascii="Times New Roman" w:hAnsi="Times New Roman" w:eastAsia="仿宋" w:cs="Times New Roman"/>
          <w:color w:val="auto"/>
          <w:sz w:val="30"/>
          <w:szCs w:val="30"/>
          <w:vertAlign w:val="superscript"/>
          <w:lang w:val="en-US" w:eastAsia="zh-CN"/>
        </w:rPr>
        <w:t>2</w:t>
      </w:r>
      <w:r>
        <w:rPr>
          <w:rFonts w:hint="default" w:ascii="Times New Roman" w:hAnsi="Times New Roman" w:eastAsia="仿宋" w:cs="Times New Roman"/>
          <w:color w:val="auto"/>
          <w:sz w:val="30"/>
          <w:szCs w:val="30"/>
          <w:lang w:val="en-US" w:eastAsia="zh-CN"/>
        </w:rPr>
        <w:t>。</w:t>
      </w:r>
      <w:r>
        <w:rPr>
          <w:rFonts w:hint="eastAsia" w:eastAsia="仿宋" w:cs="Times New Roman"/>
          <w:color w:val="auto"/>
          <w:sz w:val="30"/>
          <w:szCs w:val="30"/>
          <w:lang w:val="en-US" w:eastAsia="zh-CN"/>
        </w:rPr>
        <w:t>主要由储存区、锅炉房、危废间</w:t>
      </w:r>
      <w:r>
        <w:rPr>
          <w:rFonts w:hint="default" w:ascii="Times New Roman" w:hAnsi="Times New Roman" w:eastAsia="仿宋" w:cs="Times New Roman"/>
          <w:color w:val="auto"/>
          <w:sz w:val="30"/>
          <w:szCs w:val="30"/>
          <w:lang w:val="en-US" w:eastAsia="zh-CN"/>
        </w:rPr>
        <w:t>组成。</w:t>
      </w:r>
    </w:p>
    <w:p>
      <w:pPr>
        <w:bidi w:val="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厂区内建设</w:t>
      </w:r>
      <w:r>
        <w:rPr>
          <w:rFonts w:hint="default" w:ascii="Times New Roman" w:hAnsi="Times New Roman" w:eastAsia="仿宋" w:cs="Times New Roman"/>
          <w:color w:val="auto"/>
          <w:sz w:val="30"/>
          <w:szCs w:val="30"/>
          <w:lang w:val="en-US" w:eastAsia="zh-CN"/>
        </w:rPr>
        <w:t>排雨沟进入初期雨水收集池；</w:t>
      </w:r>
      <w:r>
        <w:rPr>
          <w:rFonts w:hint="eastAsia" w:eastAsia="仿宋" w:cs="Times New Roman"/>
          <w:color w:val="auto"/>
          <w:sz w:val="30"/>
          <w:szCs w:val="30"/>
          <w:lang w:val="en-US" w:eastAsia="zh-CN"/>
        </w:rPr>
        <w:t>厂区无生产废水也不设卫生间宿舍楼，无生活废水</w:t>
      </w:r>
      <w:r>
        <w:rPr>
          <w:rFonts w:hint="default" w:ascii="Times New Roman" w:hAnsi="Times New Roman" w:eastAsia="仿宋" w:cs="Times New Roman"/>
          <w:color w:val="auto"/>
          <w:sz w:val="30"/>
          <w:szCs w:val="30"/>
          <w:lang w:val="en-US" w:eastAsia="zh-CN"/>
        </w:rPr>
        <w:t>。</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整个厂区功能分区明确，人流、物流方便顺畅，互不干扰，满足生产、运输、安全、消防的要求。</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企业具体总平布置图见附图1。</w:t>
      </w:r>
    </w:p>
    <w:p>
      <w:pPr>
        <w:numPr>
          <w:ilvl w:val="0"/>
          <w:numId w:val="5"/>
        </w:num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重点设施设备分布</w:t>
      </w:r>
    </w:p>
    <w:p>
      <w:pPr>
        <w:numPr>
          <w:ilvl w:val="0"/>
          <w:numId w:val="0"/>
        </w:numPr>
        <w:bidi w:val="0"/>
        <w:ind w:firstLine="600" w:firstLineChars="20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岳阳市云溪区云兴矿业有限公司主要设备为燃煤锅炉、与废油储罐</w:t>
      </w:r>
      <w:r>
        <w:rPr>
          <w:rFonts w:hint="default" w:ascii="Times New Roman" w:hAnsi="Times New Roman" w:eastAsia="仿宋" w:cs="Times New Roman"/>
          <w:color w:val="auto"/>
          <w:sz w:val="30"/>
          <w:szCs w:val="30"/>
          <w:lang w:val="en-US" w:eastAsia="zh-CN"/>
        </w:rPr>
        <w:t>。</w:t>
      </w:r>
    </w:p>
    <w:p>
      <w:pPr>
        <w:numPr>
          <w:ilvl w:val="0"/>
          <w:numId w:val="5"/>
        </w:numPr>
        <w:bidi w:val="0"/>
        <w:ind w:left="0" w:leftChars="0"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雨污管线分布图</w:t>
      </w:r>
    </w:p>
    <w:p>
      <w:pPr>
        <w:numPr>
          <w:ilvl w:val="0"/>
          <w:numId w:val="0"/>
        </w:numPr>
        <w:bidi w:val="0"/>
        <w:ind w:firstLine="600" w:firstLineChars="20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采用雨污分流。雨水经厂区雨水管网进入厂区雨水沉淀池处理后排入无名小溪。</w:t>
      </w:r>
    </w:p>
    <w:p>
      <w:pPr>
        <w:pStyle w:val="7"/>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3.1.2企业生产信息资料</w:t>
      </w:r>
    </w:p>
    <w:p>
      <w:pPr>
        <w:numPr>
          <w:ilvl w:val="0"/>
          <w:numId w:val="0"/>
        </w:numPr>
        <w:bidi w:val="0"/>
        <w:ind w:firstLine="600" w:firstLineChars="200"/>
        <w:jc w:val="left"/>
        <w:rPr>
          <w:rFonts w:hint="default" w:ascii="Times New Roman" w:hAnsi="Times New Roman" w:eastAsia="仿宋" w:cs="Times New Roman"/>
          <w:color w:val="auto"/>
        </w:rPr>
      </w:pPr>
      <w:r>
        <w:rPr>
          <w:rFonts w:hint="default" w:ascii="Times New Roman" w:hAnsi="Times New Roman" w:eastAsia="仿宋" w:cs="Times New Roman"/>
          <w:color w:val="auto"/>
          <w:sz w:val="30"/>
          <w:szCs w:val="30"/>
          <w:lang w:val="en-US" w:eastAsia="zh-CN"/>
        </w:rPr>
        <w:t>1.企业生产工艺</w:t>
      </w:r>
      <w:r>
        <w:drawing>
          <wp:inline distT="0" distB="0" distL="114300" distR="114300">
            <wp:extent cx="5265420" cy="1451610"/>
            <wp:effectExtent l="0" t="0" r="11430" b="152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265420" cy="1451610"/>
                    </a:xfrm>
                    <a:prstGeom prst="rect">
                      <a:avLst/>
                    </a:prstGeom>
                    <a:noFill/>
                    <a:ln>
                      <a:noFill/>
                    </a:ln>
                  </pic:spPr>
                </pic:pic>
              </a:graphicData>
            </a:graphic>
          </wp:inline>
        </w:drawing>
      </w:r>
    </w:p>
    <w:p>
      <w:pPr>
        <w:pStyle w:val="17"/>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eastAsia="zh-CN"/>
        </w:rPr>
        <w:t>图</w:t>
      </w:r>
      <w:r>
        <w:rPr>
          <w:rFonts w:hint="default" w:ascii="Times New Roman" w:hAnsi="Times New Roman" w:eastAsia="仿宋" w:cs="Times New Roman"/>
          <w:color w:val="auto"/>
          <w:lang w:val="en-US" w:eastAsia="zh-CN"/>
        </w:rPr>
        <w:t>3-1企业生产工艺流程示意图</w:t>
      </w:r>
    </w:p>
    <w:p>
      <w:pPr>
        <w:numPr>
          <w:ilvl w:val="0"/>
          <w:numId w:val="6"/>
        </w:numPr>
        <w:tabs>
          <w:tab w:val="clear" w:pos="312"/>
        </w:tabs>
        <w:bidi w:val="0"/>
        <w:ind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化学品信息</w:t>
      </w:r>
    </w:p>
    <w:p>
      <w:pPr>
        <w:ind w:firstLine="600"/>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rPr>
        <w:t>企业涉及的化学品主要为</w:t>
      </w:r>
      <w:r>
        <w:rPr>
          <w:rFonts w:hint="eastAsia" w:eastAsia="仿宋" w:cs="Times New Roman"/>
          <w:color w:val="auto"/>
          <w:sz w:val="30"/>
          <w:szCs w:val="30"/>
          <w:lang w:eastAsia="zh-CN"/>
        </w:rPr>
        <w:t>沥青油</w:t>
      </w:r>
      <w:r>
        <w:rPr>
          <w:rFonts w:hint="default" w:ascii="Times New Roman" w:hAnsi="Times New Roman" w:eastAsia="仿宋" w:cs="Times New Roman"/>
          <w:color w:val="auto"/>
          <w:sz w:val="30"/>
          <w:szCs w:val="30"/>
        </w:rPr>
        <w:t>等。</w:t>
      </w:r>
    </w:p>
    <w:p>
      <w:pPr>
        <w:ind w:firstLine="600"/>
        <w:rPr>
          <w:rFonts w:hint="default" w:ascii="Times New Roman" w:hAnsi="Times New Roman" w:eastAsia="仿宋" w:cs="Times New Roman"/>
          <w:color w:val="auto"/>
          <w:szCs w:val="28"/>
        </w:rPr>
      </w:pPr>
      <w:r>
        <w:rPr>
          <w:rFonts w:hint="default" w:ascii="Times New Roman" w:hAnsi="Times New Roman" w:eastAsia="仿宋" w:cs="Times New Roman"/>
          <w:color w:val="auto"/>
          <w:sz w:val="30"/>
          <w:szCs w:val="30"/>
        </w:rPr>
        <w:t>涉及的主要化学品的理化性质见下表3-1至表3-</w:t>
      </w:r>
      <w:r>
        <w:rPr>
          <w:rFonts w:hint="eastAsia" w:ascii="Times New Roman" w:hAnsi="Times New Roman" w:eastAsia="仿宋" w:cs="Times New Roman"/>
          <w:color w:val="auto"/>
          <w:sz w:val="30"/>
          <w:szCs w:val="30"/>
          <w:lang w:val="en-US" w:eastAsia="zh-CN"/>
        </w:rPr>
        <w:t>3</w:t>
      </w:r>
      <w:r>
        <w:rPr>
          <w:rFonts w:hint="default" w:ascii="Times New Roman" w:hAnsi="Times New Roman" w:eastAsia="仿宋" w:cs="Times New Roman"/>
          <w:color w:val="auto"/>
          <w:sz w:val="30"/>
          <w:szCs w:val="30"/>
        </w:rPr>
        <w:t>：</w:t>
      </w:r>
    </w:p>
    <w:p>
      <w:pPr>
        <w:ind w:firstLine="482"/>
        <w:jc w:val="center"/>
        <w:rPr>
          <w:rFonts w:hint="default" w:ascii="Times New Roman" w:hAnsi="Times New Roman" w:eastAsia="仿宋" w:cs="Times New Roman"/>
          <w:b/>
          <w:color w:val="auto"/>
          <w:szCs w:val="28"/>
        </w:rPr>
      </w:pPr>
      <w:r>
        <w:rPr>
          <w:rFonts w:hint="default" w:ascii="Times New Roman" w:hAnsi="Times New Roman" w:eastAsia="仿宋" w:cs="Times New Roman"/>
          <w:b/>
          <w:color w:val="auto"/>
          <w:szCs w:val="28"/>
        </w:rPr>
        <w:t>表3-1</w:t>
      </w:r>
      <w:r>
        <w:rPr>
          <w:rFonts w:hint="eastAsia" w:eastAsia="仿宋" w:cs="Times New Roman"/>
          <w:b/>
          <w:color w:val="auto"/>
          <w:szCs w:val="28"/>
          <w:lang w:eastAsia="zh-CN"/>
        </w:rPr>
        <w:t>沥青</w:t>
      </w:r>
      <w:r>
        <w:rPr>
          <w:rFonts w:hint="default" w:ascii="Times New Roman" w:hAnsi="Times New Roman" w:eastAsia="仿宋" w:cs="Times New Roman"/>
          <w:b/>
          <w:color w:val="auto"/>
          <w:szCs w:val="28"/>
        </w:rPr>
        <w:t>理化性质和危险特性表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98"/>
        <w:gridCol w:w="1568"/>
        <w:gridCol w:w="123"/>
        <w:gridCol w:w="1009"/>
        <w:gridCol w:w="661"/>
        <w:gridCol w:w="1475"/>
        <w:gridCol w:w="661"/>
        <w:gridCol w:w="25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restart"/>
            <w:vAlign w:val="center"/>
          </w:tcPr>
          <w:p>
            <w:pPr>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标识</w:t>
            </w:r>
          </w:p>
        </w:tc>
        <w:tc>
          <w:tcPr>
            <w:tcW w:w="1584" w:type="pct"/>
            <w:gridSpan w:val="3"/>
            <w:vAlign w:val="center"/>
          </w:tcPr>
          <w:p>
            <w:pPr>
              <w:spacing w:line="240" w:lineRule="auto"/>
              <w:ind w:firstLine="0" w:firstLineChars="0"/>
              <w:rPr>
                <w:rFonts w:hint="default" w:ascii="Times New Roman" w:hAnsi="Times New Roman" w:eastAsia="仿宋" w:cs="Times New Roman"/>
                <w:color w:val="auto"/>
                <w:sz w:val="21"/>
                <w:szCs w:val="21"/>
                <w:lang w:val="en-GB"/>
              </w:rPr>
            </w:pPr>
            <w:r>
              <w:rPr>
                <w:rFonts w:hint="default" w:ascii="Times New Roman" w:hAnsi="Times New Roman" w:eastAsia="仿宋" w:cs="Times New Roman"/>
                <w:color w:val="auto"/>
                <w:sz w:val="21"/>
                <w:szCs w:val="21"/>
              </w:rPr>
              <w:t>英文名</w:t>
            </w:r>
            <w:r>
              <w:rPr>
                <w:rFonts w:hint="default" w:ascii="Times New Roman" w:hAnsi="Times New Roman" w:eastAsia="仿宋" w:cs="Times New Roman"/>
                <w:color w:val="auto"/>
                <w:sz w:val="21"/>
                <w:szCs w:val="21"/>
                <w:lang w:val="en-GB"/>
              </w:rPr>
              <w:t>：</w:t>
            </w:r>
            <w:r>
              <w:rPr>
                <w:rFonts w:hint="default" w:ascii="Times New Roman" w:hAnsi="Times New Roman" w:eastAsia="仿宋" w:cs="Times New Roman"/>
                <w:color w:val="auto"/>
                <w:sz w:val="21"/>
                <w:szCs w:val="21"/>
              </w:rPr>
              <w:t>Dsphalt</w:t>
            </w:r>
          </w:p>
        </w:tc>
        <w:tc>
          <w:tcPr>
            <w:tcW w:w="1641" w:type="pct"/>
            <w:gridSpan w:val="3"/>
            <w:vAlign w:val="center"/>
          </w:tcPr>
          <w:p>
            <w:pPr>
              <w:spacing w:line="240" w:lineRule="auto"/>
              <w:ind w:firstLine="0" w:firstLineChars="0"/>
              <w:rPr>
                <w:rFonts w:hint="eastAsia" w:ascii="Times New Roman" w:hAnsi="Times New Roman" w:eastAsia="仿宋" w:cs="Times New Roman"/>
                <w:color w:val="auto"/>
                <w:sz w:val="21"/>
                <w:szCs w:val="21"/>
                <w:lang w:val="en-GB" w:eastAsia="zh-CN"/>
              </w:rPr>
            </w:pPr>
            <w:r>
              <w:rPr>
                <w:rFonts w:hint="default" w:ascii="Times New Roman" w:hAnsi="Times New Roman" w:eastAsia="仿宋" w:cs="Times New Roman"/>
                <w:color w:val="auto"/>
                <w:sz w:val="21"/>
                <w:szCs w:val="21"/>
              </w:rPr>
              <w:t>分子式</w:t>
            </w:r>
            <w:r>
              <w:rPr>
                <w:rFonts w:hint="default" w:ascii="Times New Roman" w:hAnsi="Times New Roman" w:eastAsia="仿宋" w:cs="Times New Roman"/>
                <w:color w:val="auto"/>
                <w:sz w:val="21"/>
                <w:szCs w:val="21"/>
                <w:lang w:val="en-GB"/>
              </w:rPr>
              <w:t>：</w:t>
            </w:r>
            <w:r>
              <w:rPr>
                <w:rFonts w:hint="eastAsia" w:eastAsia="仿宋" w:cs="Times New Roman"/>
                <w:color w:val="auto"/>
                <w:sz w:val="21"/>
                <w:szCs w:val="21"/>
                <w:lang w:val="en-US" w:eastAsia="zh-CN"/>
              </w:rPr>
              <w:t>/</w:t>
            </w:r>
          </w:p>
        </w:tc>
        <w:tc>
          <w:tcPr>
            <w:tcW w:w="1482" w:type="pct"/>
            <w:vAlign w:val="center"/>
          </w:tcPr>
          <w:p>
            <w:pPr>
              <w:spacing w:line="240" w:lineRule="auto"/>
              <w:ind w:firstLine="0" w:firstLineChars="0"/>
              <w:rPr>
                <w:rFonts w:hint="eastAsia" w:ascii="Times New Roman" w:hAnsi="Times New Roman" w:eastAsia="仿宋" w:cs="Times New Roman"/>
                <w:color w:val="auto"/>
                <w:sz w:val="21"/>
                <w:szCs w:val="21"/>
                <w:lang w:val="en-GB" w:eastAsia="zh-CN"/>
              </w:rPr>
            </w:pPr>
            <w:r>
              <w:rPr>
                <w:rFonts w:hint="default" w:ascii="Times New Roman" w:hAnsi="Times New Roman" w:eastAsia="仿宋" w:cs="Times New Roman"/>
                <w:color w:val="auto"/>
                <w:sz w:val="21"/>
                <w:szCs w:val="21"/>
              </w:rPr>
              <w:t>分子量</w:t>
            </w:r>
            <w:r>
              <w:rPr>
                <w:rFonts w:hint="default" w:ascii="Times New Roman" w:hAnsi="Times New Roman" w:eastAsia="仿宋" w:cs="Times New Roman"/>
                <w:color w:val="auto"/>
                <w:sz w:val="21"/>
                <w:szCs w:val="21"/>
                <w:lang w:val="en-GB"/>
              </w:rPr>
              <w:t>：</w:t>
            </w:r>
            <w:r>
              <w:rPr>
                <w:rFonts w:hint="eastAsia" w:eastAsia="仿宋"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1584" w:type="pct"/>
            <w:gridSpan w:val="3"/>
            <w:vAlign w:val="center"/>
          </w:tcPr>
          <w:p>
            <w:pPr>
              <w:spacing w:line="240" w:lineRule="auto"/>
              <w:ind w:firstLine="0" w:firstLineChars="0"/>
              <w:rPr>
                <w:rFonts w:hint="default" w:ascii="Times New Roman" w:hAnsi="Times New Roman" w:eastAsia="仿宋" w:cs="Times New Roman"/>
                <w:color w:val="auto"/>
                <w:sz w:val="21"/>
                <w:szCs w:val="21"/>
                <w:lang w:val="en-GB"/>
              </w:rPr>
            </w:pPr>
            <w:r>
              <w:rPr>
                <w:rFonts w:hint="default" w:ascii="Times New Roman" w:hAnsi="Times New Roman" w:eastAsia="仿宋" w:cs="Times New Roman"/>
                <w:color w:val="auto"/>
                <w:sz w:val="21"/>
                <w:szCs w:val="21"/>
              </w:rPr>
              <w:t>危险化学品目录序号：1669</w:t>
            </w:r>
          </w:p>
        </w:tc>
        <w:tc>
          <w:tcPr>
            <w:tcW w:w="3123" w:type="pct"/>
            <w:gridSpan w:val="4"/>
            <w:vAlign w:val="center"/>
          </w:tcPr>
          <w:p>
            <w:pPr>
              <w:spacing w:line="240" w:lineRule="auto"/>
              <w:ind w:firstLine="0" w:firstLineChars="0"/>
              <w:rPr>
                <w:rFonts w:hint="eastAsia" w:ascii="Times New Roman" w:hAnsi="Times New Roman" w:eastAsia="仿宋" w:cs="Times New Roman"/>
                <w:color w:val="auto"/>
                <w:sz w:val="21"/>
                <w:szCs w:val="21"/>
                <w:lang w:val="en-GB" w:eastAsia="zh-CN"/>
              </w:rPr>
            </w:pPr>
            <w:r>
              <w:rPr>
                <w:rFonts w:hint="default" w:ascii="Times New Roman" w:hAnsi="Times New Roman" w:eastAsia="仿宋" w:cs="Times New Roman"/>
                <w:color w:val="auto"/>
                <w:sz w:val="21"/>
                <w:szCs w:val="21"/>
              </w:rPr>
              <w:t>UN编号：</w:t>
            </w:r>
            <w:r>
              <w:rPr>
                <w:rFonts w:hint="eastAsia" w:eastAsia="仿宋"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1584" w:type="pct"/>
            <w:gridSpan w:val="3"/>
            <w:vAlign w:val="center"/>
          </w:tcPr>
          <w:p>
            <w:pPr>
              <w:spacing w:line="240" w:lineRule="auto"/>
              <w:ind w:firstLine="0" w:firstLineChars="0"/>
              <w:rPr>
                <w:rFonts w:hint="eastAsia"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rPr>
              <w:t>RTECS号：</w:t>
            </w:r>
            <w:r>
              <w:rPr>
                <w:rFonts w:hint="eastAsia" w:eastAsia="仿宋" w:cs="Times New Roman"/>
                <w:color w:val="auto"/>
                <w:sz w:val="21"/>
                <w:szCs w:val="21"/>
                <w:lang w:val="en-US" w:eastAsia="zh-CN"/>
              </w:rPr>
              <w:t>/</w:t>
            </w:r>
          </w:p>
        </w:tc>
        <w:tc>
          <w:tcPr>
            <w:tcW w:w="1641" w:type="pct"/>
            <w:gridSpan w:val="3"/>
            <w:vAlign w:val="center"/>
          </w:tcPr>
          <w:p>
            <w:pPr>
              <w:spacing w:line="240" w:lineRule="auto"/>
              <w:ind w:firstLine="0" w:firstLineChars="0"/>
              <w:rPr>
                <w:rFonts w:hint="eastAsia"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rPr>
              <w:t>IMDG规则页码：</w:t>
            </w:r>
            <w:r>
              <w:rPr>
                <w:rFonts w:hint="eastAsia" w:eastAsia="仿宋" w:cs="Times New Roman"/>
                <w:color w:val="auto"/>
                <w:sz w:val="21"/>
                <w:szCs w:val="21"/>
                <w:lang w:val="en-US" w:eastAsia="zh-CN"/>
              </w:rPr>
              <w:t>/</w:t>
            </w:r>
          </w:p>
        </w:tc>
        <w:tc>
          <w:tcPr>
            <w:tcW w:w="1482" w:type="pct"/>
            <w:vAlign w:val="center"/>
          </w:tcPr>
          <w:p>
            <w:pPr>
              <w:spacing w:line="240" w:lineRule="auto"/>
              <w:ind w:firstLine="0" w:firstLineChars="0"/>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rPr>
              <w:t>CAS号：</w:t>
            </w:r>
            <w:r>
              <w:rPr>
                <w:rFonts w:hint="eastAsia" w:eastAsia="仿宋" w:cs="Times New Roman"/>
                <w:color w:val="auto"/>
                <w:sz w:val="21"/>
                <w:szCs w:val="21"/>
                <w:lang w:val="en-US" w:eastAsia="zh-CN"/>
              </w:rPr>
              <w:t>8052-42-4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1584" w:type="pct"/>
            <w:gridSpan w:val="3"/>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危险性类别</w:t>
            </w:r>
          </w:p>
        </w:tc>
        <w:tc>
          <w:tcPr>
            <w:tcW w:w="3123" w:type="pct"/>
            <w:gridSpan w:val="4"/>
            <w:vAlign w:val="center"/>
          </w:tcPr>
          <w:p>
            <w:pPr>
              <w:spacing w:line="240" w:lineRule="auto"/>
              <w:ind w:firstLine="0" w:firstLineChars="0"/>
              <w:rPr>
                <w:rFonts w:hint="eastAsia" w:ascii="Times New Roman" w:hAnsi="Times New Roman" w:eastAsia="仿宋" w:cs="Times New Roman"/>
                <w:color w:val="auto"/>
                <w:sz w:val="21"/>
                <w:szCs w:val="21"/>
                <w:lang w:eastAsia="zh-CN"/>
              </w:rPr>
            </w:pPr>
            <w:r>
              <w:rPr>
                <w:rFonts w:hint="eastAsia" w:eastAsia="仿宋" w:cs="Times New Roman"/>
                <w:color w:val="auto"/>
                <w:kern w:val="0"/>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restart"/>
            <w:vAlign w:val="center"/>
          </w:tcPr>
          <w:p>
            <w:pPr>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理化</w:t>
            </w:r>
          </w:p>
          <w:p>
            <w:pPr>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性质</w:t>
            </w:r>
          </w:p>
        </w:tc>
        <w:tc>
          <w:tcPr>
            <w:tcW w:w="4707" w:type="pct"/>
            <w:gridSpan w:val="7"/>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外观与性状：外观：白色圆状颗粒，易潮解。气味：有刺激性气味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4707" w:type="pct"/>
            <w:gridSpan w:val="7"/>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主要用途：广泛用于中和剂，各种钠盐制造、肥皂、造纸、棉织品、丝、粘胶纤维、橡胶制品的再生、金属清洗、电解提炼锌、镀锡、氧化物涂料、漂白等。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92" w:type="pct"/>
            <w:gridSpan w:val="2"/>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熔点(℃)</w:t>
            </w:r>
          </w:p>
        </w:tc>
        <w:tc>
          <w:tcPr>
            <w:tcW w:w="980" w:type="pct"/>
            <w:gridSpan w:val="2"/>
            <w:vAlign w:val="center"/>
          </w:tcPr>
          <w:p>
            <w:pPr>
              <w:spacing w:line="240" w:lineRule="auto"/>
              <w:ind w:firstLine="0" w:firstLineChars="0"/>
              <w:rPr>
                <w:rFonts w:hint="eastAsia" w:ascii="Times New Roman" w:hAnsi="Times New Roman" w:eastAsia="仿宋" w:cs="Times New Roman"/>
                <w:color w:val="auto"/>
                <w:sz w:val="21"/>
                <w:szCs w:val="21"/>
                <w:lang w:eastAsia="zh-CN"/>
              </w:rPr>
            </w:pPr>
            <w:r>
              <w:rPr>
                <w:rFonts w:hint="eastAsia" w:eastAsia="仿宋" w:cs="Times New Roman"/>
                <w:color w:val="auto"/>
                <w:sz w:val="21"/>
                <w:szCs w:val="21"/>
                <w:lang w:val="en-US" w:eastAsia="zh-CN"/>
              </w:rPr>
              <w:t>/</w:t>
            </w:r>
          </w:p>
        </w:tc>
        <w:tc>
          <w:tcPr>
            <w:tcW w:w="1252" w:type="pct"/>
            <w:gridSpan w:val="2"/>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相对密度（空气=1）</w:t>
            </w:r>
          </w:p>
        </w:tc>
        <w:tc>
          <w:tcPr>
            <w:tcW w:w="1482" w:type="pct"/>
            <w:vAlign w:val="center"/>
          </w:tcPr>
          <w:p>
            <w:pPr>
              <w:spacing w:line="240" w:lineRule="auto"/>
              <w:ind w:firstLine="0" w:firstLineChars="0"/>
              <w:rPr>
                <w:rFonts w:hint="default" w:ascii="Times New Roman" w:hAnsi="Times New Roman" w:eastAsia="仿宋" w:cs="Times New Roman"/>
                <w:color w:val="auto"/>
                <w:sz w:val="21"/>
                <w:szCs w:val="21"/>
                <w:lang w:val="en-GB"/>
              </w:rPr>
            </w:pPr>
            <w:r>
              <w:rPr>
                <w:rFonts w:hint="default" w:ascii="Times New Roman" w:hAnsi="Times New Roman" w:eastAsia="仿宋" w:cs="Times New Roman"/>
                <w:color w:val="auto"/>
                <w:sz w:val="21"/>
                <w:szCs w:val="21"/>
                <w:lang w:val="en-GB"/>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92" w:type="pct"/>
            <w:gridSpan w:val="2"/>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沸点(℃)</w:t>
            </w:r>
          </w:p>
        </w:tc>
        <w:tc>
          <w:tcPr>
            <w:tcW w:w="980" w:type="pct"/>
            <w:gridSpan w:val="2"/>
            <w:vAlign w:val="center"/>
          </w:tcPr>
          <w:p>
            <w:pPr>
              <w:spacing w:line="240" w:lineRule="auto"/>
              <w:ind w:firstLine="0" w:firstLineChars="0"/>
              <w:rPr>
                <w:rFonts w:hint="default" w:ascii="Times New Roman" w:hAnsi="Times New Roman" w:eastAsia="仿宋" w:cs="Times New Roman"/>
                <w:color w:val="auto"/>
                <w:sz w:val="21"/>
                <w:szCs w:val="21"/>
                <w:lang w:val="en-US" w:eastAsia="zh-CN"/>
              </w:rPr>
            </w:pPr>
            <w:r>
              <w:rPr>
                <w:rFonts w:hint="eastAsia" w:eastAsia="仿宋" w:cs="Times New Roman"/>
                <w:color w:val="auto"/>
                <w:sz w:val="21"/>
                <w:szCs w:val="21"/>
                <w:lang w:val="en-US" w:eastAsia="zh-CN"/>
              </w:rPr>
              <w:t>470</w:t>
            </w:r>
          </w:p>
        </w:tc>
        <w:tc>
          <w:tcPr>
            <w:tcW w:w="1252" w:type="pct"/>
            <w:gridSpan w:val="2"/>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相对密度（水=1）</w:t>
            </w:r>
          </w:p>
        </w:tc>
        <w:tc>
          <w:tcPr>
            <w:tcW w:w="1482" w:type="pct"/>
            <w:vAlign w:val="center"/>
          </w:tcPr>
          <w:p>
            <w:pPr>
              <w:spacing w:line="240" w:lineRule="auto"/>
              <w:ind w:firstLine="0" w:firstLineChars="0"/>
              <w:rPr>
                <w:rFonts w:hint="default" w:ascii="Times New Roman" w:hAnsi="Times New Roman" w:eastAsia="仿宋" w:cs="Times New Roman"/>
                <w:color w:val="auto"/>
                <w:sz w:val="21"/>
                <w:szCs w:val="21"/>
                <w:lang w:val="en-GB"/>
              </w:rPr>
            </w:pPr>
            <w:r>
              <w:rPr>
                <w:rFonts w:hint="eastAsia" w:eastAsia="仿宋" w:cs="Times New Roman"/>
                <w:color w:val="auto"/>
                <w:sz w:val="21"/>
                <w:szCs w:val="21"/>
                <w:lang w:val="en-US" w:eastAsia="zh-CN"/>
              </w:rPr>
              <w:t>1.15</w:t>
            </w:r>
            <w:r>
              <w:rPr>
                <w:rFonts w:hint="default" w:ascii="Times New Roman" w:hAnsi="Times New Roman" w:eastAsia="仿宋" w:cs="Times New Roman"/>
                <w:color w:val="auto"/>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4707" w:type="pct"/>
            <w:gridSpan w:val="7"/>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溶解性：</w:t>
            </w:r>
            <w:r>
              <w:rPr>
                <w:rFonts w:hint="eastAsia" w:eastAsia="仿宋" w:cs="Times New Roman"/>
                <w:color w:val="auto"/>
                <w:sz w:val="21"/>
                <w:szCs w:val="21"/>
                <w:lang w:eastAsia="zh-CN"/>
              </w:rPr>
              <w:t>不</w:t>
            </w:r>
            <w:r>
              <w:rPr>
                <w:rFonts w:hint="default" w:ascii="Times New Roman" w:hAnsi="Times New Roman" w:eastAsia="仿宋" w:cs="Times New Roman"/>
                <w:color w:val="auto"/>
                <w:sz w:val="21"/>
                <w:szCs w:val="21"/>
              </w:rPr>
              <w:t>溶于水、乙醇、甘油，不溶于丙酮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restart"/>
            <w:vAlign w:val="center"/>
          </w:tcPr>
          <w:p>
            <w:pPr>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毒性及健康危害</w:t>
            </w: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接触限值(mg/m</w:t>
            </w:r>
            <w:r>
              <w:rPr>
                <w:rFonts w:hint="default" w:ascii="Times New Roman" w:hAnsi="Times New Roman" w:eastAsia="仿宋" w:cs="Times New Roman"/>
                <w:color w:val="auto"/>
                <w:sz w:val="21"/>
                <w:szCs w:val="21"/>
                <w:vertAlign w:val="superscript"/>
              </w:rPr>
              <w:t>3</w:t>
            </w:r>
            <w:r>
              <w:rPr>
                <w:rFonts w:hint="default" w:ascii="Times New Roman" w:hAnsi="Times New Roman" w:eastAsia="仿宋" w:cs="Times New Roman"/>
                <w:color w:val="auto"/>
                <w:sz w:val="21"/>
                <w:szCs w:val="21"/>
              </w:rPr>
              <w:t>)</w:t>
            </w:r>
          </w:p>
        </w:tc>
        <w:tc>
          <w:tcPr>
            <w:tcW w:w="1917" w:type="pct"/>
            <w:gridSpan w:val="4"/>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中国MAC</w:t>
            </w:r>
          </w:p>
        </w:tc>
        <w:tc>
          <w:tcPr>
            <w:tcW w:w="1869" w:type="pct"/>
            <w:gridSpan w:val="2"/>
            <w:vAlign w:val="center"/>
          </w:tcPr>
          <w:p>
            <w:pPr>
              <w:spacing w:line="240" w:lineRule="auto"/>
              <w:ind w:firstLine="0" w:firstLineChars="0"/>
              <w:rPr>
                <w:rFonts w:hint="eastAsia"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未定义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侵入途径</w:t>
            </w:r>
          </w:p>
        </w:tc>
        <w:tc>
          <w:tcPr>
            <w:tcW w:w="1917" w:type="pct"/>
            <w:gridSpan w:val="4"/>
            <w:vAlign w:val="center"/>
          </w:tcPr>
          <w:p>
            <w:pPr>
              <w:spacing w:line="240" w:lineRule="auto"/>
              <w:ind w:firstLine="0" w:firstLineChars="0"/>
              <w:rPr>
                <w:rFonts w:hint="eastAsia" w:ascii="Times New Roman" w:hAnsi="Times New Roman" w:eastAsia="仿宋" w:cs="Times New Roman"/>
                <w:color w:val="auto"/>
                <w:sz w:val="21"/>
                <w:szCs w:val="21"/>
                <w:lang w:eastAsia="zh-CN"/>
              </w:rPr>
            </w:pPr>
            <w:r>
              <w:rPr>
                <w:rFonts w:hint="eastAsia" w:eastAsia="仿宋" w:cs="Times New Roman"/>
                <w:color w:val="auto"/>
                <w:sz w:val="21"/>
                <w:szCs w:val="21"/>
                <w:lang w:val="en-US" w:eastAsia="zh-CN"/>
              </w:rPr>
              <w:t>/</w:t>
            </w:r>
          </w:p>
        </w:tc>
        <w:tc>
          <w:tcPr>
            <w:tcW w:w="1869" w:type="pct"/>
            <w:gridSpan w:val="2"/>
            <w:vAlign w:val="center"/>
          </w:tcPr>
          <w:p>
            <w:pPr>
              <w:spacing w:line="240" w:lineRule="auto"/>
              <w:ind w:firstLine="0" w:firstLineChars="0"/>
              <w:rPr>
                <w:rFonts w:hint="eastAsia"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rPr>
              <w:t>毒性</w:t>
            </w:r>
            <w:r>
              <w:rPr>
                <w:rFonts w:hint="default" w:ascii="Times New Roman" w:hAnsi="Times New Roman" w:eastAsia="仿宋" w:cs="Times New Roman"/>
                <w:color w:val="auto"/>
                <w:sz w:val="21"/>
                <w:szCs w:val="21"/>
                <w:lang w:val="en-GB"/>
              </w:rPr>
              <w:t>：</w:t>
            </w:r>
            <w:r>
              <w:rPr>
                <w:rFonts w:hint="eastAsia" w:eastAsia="仿宋"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健康危害</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沥青及其烟气对皮肤粘膜具有刺激性，有光毒作用和致肿瘤作用。我国三种主要沥青的毒性:煤焦沥青&gt;页岩沥青&gt;石油沥青,前二者有致癌性。沥青的主要皮肤损害有:光毒性皮炎,皮损限于面、颈部等暴露部分;黑变病,皮损常对称分布于暴露部位,呈片状，呈褐-深褐-褐黑色;职业性痤疮;疣状赘生物及事故弓|起的热烧伤。此外，尚有头昏头胀，头痛、胸闷、乏力、恶心、食欲不振等全身症状和眼、鼻、咽部的刺激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急救措施</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迅速撤离泄漏污染区人员至安全区,并进行隔离,严格限制出入。切断火源。建议应急处理人员戴自给正压式呼吸器,穿防毒服。尽可能切断泄漏源。若是液体,防止流入下水道、排洪沟等限制性空间。小量泄漏:用大量水冲洗,洗水稀释后放入废水系统。大量泄漏:构筑围堤或挖坑收容。用泵转移至槽车或专用收集器内,回收或运至废物处理场所处置。若是固体，用洁净的铲子收集于干燥、洁净、有盖的容器中。若大量泄漏,收集回收或运至废物处理场所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危险特性</w:t>
            </w:r>
          </w:p>
        </w:tc>
        <w:tc>
          <w:tcPr>
            <w:tcW w:w="3787" w:type="pct"/>
            <w:gridSpan w:val="6"/>
            <w:vAlign w:val="center"/>
          </w:tcPr>
          <w:p>
            <w:pPr>
              <w:spacing w:line="240" w:lineRule="auto"/>
              <w:ind w:firstLine="0" w:firstLineChars="0"/>
              <w:rPr>
                <w:rFonts w:hint="eastAsia"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rPr>
              <w:t>遇明火、高热可燃。燃烧时放出有毒的刺激性烟雾。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燃烧分解产物</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eastAsia" w:eastAsia="仿宋" w:cs="Times New Roman"/>
                <w:color w:val="auto"/>
                <w:sz w:val="21"/>
                <w:szCs w:val="21"/>
                <w:lang w:eastAsia="zh-CN"/>
              </w:rPr>
              <w:t>一</w:t>
            </w:r>
            <w:r>
              <w:rPr>
                <w:rFonts w:hint="default" w:ascii="Times New Roman" w:hAnsi="Times New Roman" w:eastAsia="仿宋" w:cs="Times New Roman"/>
                <w:color w:val="auto"/>
                <w:sz w:val="21"/>
                <w:szCs w:val="21"/>
              </w:rPr>
              <w:t>氧化碳、二氧化碳、成分未知的黑色烟雾。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稳定性</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稳定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聚合危害</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禁忌物</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92" w:type="pct"/>
            <w:vMerge w:val="continue"/>
            <w:vAlign w:val="center"/>
          </w:tcPr>
          <w:p>
            <w:pPr>
              <w:spacing w:line="240" w:lineRule="auto"/>
              <w:ind w:firstLine="0" w:firstLineChars="0"/>
              <w:jc w:val="center"/>
              <w:rPr>
                <w:rFonts w:hint="default" w:ascii="Times New Roman" w:hAnsi="Times New Roman" w:eastAsia="仿宋" w:cs="Times New Roman"/>
                <w:color w:val="auto"/>
                <w:sz w:val="21"/>
                <w:szCs w:val="21"/>
              </w:rPr>
            </w:pPr>
          </w:p>
        </w:tc>
        <w:tc>
          <w:tcPr>
            <w:tcW w:w="919" w:type="pct"/>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灭火方法</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用水、砂土扑救，但须防止物品遇水产生飞溅，造成灼伤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212" w:type="pct"/>
            <w:gridSpan w:val="2"/>
            <w:vAlign w:val="center"/>
          </w:tcPr>
          <w:p>
            <w:pPr>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其它</w:t>
            </w:r>
          </w:p>
        </w:tc>
        <w:tc>
          <w:tcPr>
            <w:tcW w:w="3787" w:type="pct"/>
            <w:gridSpan w:val="6"/>
            <w:vAlign w:val="center"/>
          </w:tcPr>
          <w:p>
            <w:pPr>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在作业区内设喷淋器和冲眼器</w:t>
            </w:r>
          </w:p>
        </w:tc>
      </w:tr>
    </w:tbl>
    <w:p>
      <w:pPr>
        <w:bidi w:val="0"/>
        <w:ind w:left="0" w:leftChars="0" w:firstLine="0" w:firstLineChars="0"/>
        <w:jc w:val="center"/>
        <w:rPr>
          <w:rFonts w:hint="default" w:ascii="Times New Roman" w:hAnsi="Times New Roman" w:eastAsia="仿宋" w:cs="Times New Roman"/>
          <w:b/>
          <w:color w:val="auto"/>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numPr>
          <w:ilvl w:val="0"/>
          <w:numId w:val="6"/>
        </w:numPr>
        <w:bidi w:val="0"/>
        <w:ind w:left="0" w:leftChars="0" w:firstLine="600" w:firstLineChars="2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涉及化学品的相关生产设施设备防渗漏、流失、扬散设计和建设信息；相关管理制度和台账。</w:t>
      </w:r>
    </w:p>
    <w:p>
      <w:pPr>
        <w:numPr>
          <w:ilvl w:val="0"/>
          <w:numId w:val="0"/>
        </w:numPr>
        <w:bidi w:val="0"/>
        <w:jc w:val="left"/>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sz w:val="30"/>
          <w:szCs w:val="30"/>
          <w:lang w:val="en-US" w:eastAsia="zh-CN"/>
        </w:rPr>
        <w:t>本项目</w:t>
      </w:r>
      <w:r>
        <w:rPr>
          <w:rFonts w:hint="eastAsia" w:ascii="Times New Roman" w:hAnsi="Times New Roman" w:eastAsia="仿宋" w:cs="Times New Roman"/>
          <w:color w:val="auto"/>
          <w:sz w:val="30"/>
          <w:szCs w:val="30"/>
          <w:lang w:val="en-US" w:eastAsia="zh-CN"/>
        </w:rPr>
        <w:t>不涉及化学品</w:t>
      </w:r>
      <w:r>
        <w:rPr>
          <w:rFonts w:hint="default" w:ascii="Times New Roman" w:hAnsi="Times New Roman" w:eastAsia="仿宋" w:cs="Times New Roman"/>
          <w:color w:val="auto"/>
          <w:sz w:val="30"/>
          <w:szCs w:val="30"/>
          <w:lang w:val="en-US" w:eastAsia="zh-CN"/>
        </w:rPr>
        <w:t xml:space="preserve">。 </w:t>
      </w:r>
    </w:p>
    <w:p>
      <w:pPr>
        <w:pStyle w:val="6"/>
        <w:bidi w:val="0"/>
        <w:outlineLvl w:val="0"/>
        <w:rPr>
          <w:rFonts w:hint="default" w:ascii="Times New Roman" w:hAnsi="Times New Roman" w:eastAsia="仿宋" w:cs="Times New Roman"/>
          <w:color w:val="auto"/>
        </w:rPr>
      </w:pPr>
      <w:bookmarkStart w:id="22" w:name="_Toc3742"/>
      <w:r>
        <w:rPr>
          <w:rFonts w:hint="default" w:ascii="Times New Roman" w:hAnsi="Times New Roman" w:eastAsia="仿宋" w:cs="Times New Roman"/>
          <w:color w:val="auto"/>
        </w:rPr>
        <w:t>3.2人员访谈</w:t>
      </w:r>
      <w:bookmarkEnd w:id="22"/>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2021年</w:t>
      </w:r>
      <w:r>
        <w:rPr>
          <w:rFonts w:hint="eastAsia" w:eastAsia="仿宋" w:cs="Times New Roman"/>
          <w:color w:val="auto"/>
          <w:sz w:val="30"/>
          <w:szCs w:val="30"/>
          <w:lang w:val="en-US" w:eastAsia="zh-CN"/>
        </w:rPr>
        <w:t>9</w:t>
      </w:r>
      <w:r>
        <w:rPr>
          <w:rFonts w:hint="default" w:ascii="Times New Roman" w:hAnsi="Times New Roman" w:eastAsia="仿宋" w:cs="Times New Roman"/>
          <w:color w:val="auto"/>
          <w:sz w:val="30"/>
          <w:szCs w:val="30"/>
          <w:lang w:val="en-US" w:eastAsia="zh-CN"/>
        </w:rPr>
        <w:t>月10日，在接受</w:t>
      </w: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的委托后，湖南德环检测中心技术人员立即前往</w:t>
      </w:r>
      <w:r>
        <w:rPr>
          <w:rFonts w:hint="eastAsia" w:eastAsia="仿宋" w:cs="Times New Roman"/>
          <w:color w:val="auto"/>
          <w:sz w:val="30"/>
          <w:szCs w:val="30"/>
          <w:lang w:val="en-US" w:eastAsia="zh-CN"/>
        </w:rPr>
        <w:t>岳阳市云溪区云兴</w:t>
      </w:r>
      <w:bookmarkStart w:id="63" w:name="_GoBack"/>
      <w:r>
        <w:rPr>
          <w:rFonts w:hint="eastAsia" w:eastAsia="仿宋" w:cs="Times New Roman"/>
          <w:color w:val="auto"/>
          <w:sz w:val="30"/>
          <w:szCs w:val="30"/>
          <w:lang w:val="en-US" w:eastAsia="zh-CN"/>
        </w:rPr>
        <w:t>矿</w:t>
      </w:r>
      <w:bookmarkEnd w:id="63"/>
      <w:r>
        <w:rPr>
          <w:rFonts w:hint="eastAsia" w:eastAsia="仿宋" w:cs="Times New Roman"/>
          <w:color w:val="auto"/>
          <w:sz w:val="30"/>
          <w:szCs w:val="30"/>
          <w:lang w:val="en-US" w:eastAsia="zh-CN"/>
        </w:rPr>
        <w:t>业有限公司</w:t>
      </w:r>
      <w:r>
        <w:rPr>
          <w:rFonts w:hint="default" w:ascii="Times New Roman" w:hAnsi="Times New Roman" w:eastAsia="仿宋" w:cs="Times New Roman"/>
          <w:color w:val="auto"/>
          <w:sz w:val="30"/>
          <w:szCs w:val="30"/>
          <w:lang w:val="en-US" w:eastAsia="zh-CN"/>
        </w:rPr>
        <w:t>进行现场踏勘，并与相关人员进行的约谈。此次土壤隐患排查主要的访谈对象为</w:t>
      </w: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的总经理-</w:t>
      </w:r>
      <w:r>
        <w:rPr>
          <w:rFonts w:hint="eastAsia" w:eastAsia="仿宋" w:cs="Times New Roman"/>
          <w:color w:val="auto"/>
          <w:sz w:val="30"/>
          <w:szCs w:val="30"/>
          <w:lang w:val="en-US" w:eastAsia="zh-CN"/>
        </w:rPr>
        <w:t>王</w:t>
      </w:r>
      <w:r>
        <w:rPr>
          <w:rFonts w:hint="default" w:ascii="Times New Roman" w:hAnsi="Times New Roman" w:eastAsia="仿宋" w:cs="Times New Roman"/>
          <w:color w:val="auto"/>
          <w:sz w:val="30"/>
          <w:szCs w:val="30"/>
          <w:lang w:val="en-US" w:eastAsia="zh-CN"/>
        </w:rPr>
        <w:t>总。访谈的具体情况如下表所示。</w:t>
      </w:r>
    </w:p>
    <w:p>
      <w:pPr>
        <w:pStyle w:val="17"/>
        <w:bidi w:val="0"/>
        <w:rPr>
          <w:rFonts w:hint="default" w:ascii="Times New Roman" w:hAnsi="Times New Roman" w:eastAsia="仿宋" w:cs="Times New Roman"/>
          <w:color w:val="auto"/>
          <w:vertAlign w:val="baseline"/>
          <w:lang w:val="en-US" w:eastAsia="zh-CN"/>
        </w:rPr>
      </w:pPr>
      <w:r>
        <w:rPr>
          <w:rFonts w:hint="default" w:ascii="Times New Roman" w:hAnsi="Times New Roman" w:eastAsia="仿宋" w:cs="Times New Roman"/>
          <w:color w:val="auto"/>
          <w:lang w:val="en-US" w:eastAsia="zh-CN"/>
        </w:rPr>
        <w:t>表3-2</w:t>
      </w:r>
      <w:r>
        <w:rPr>
          <w:rFonts w:hint="eastAsia" w:eastAsia="仿宋" w:cs="Times New Roman"/>
          <w:color w:val="auto"/>
          <w:lang w:val="en-US" w:eastAsia="zh-CN"/>
        </w:rPr>
        <w:t>岳阳市云溪区云兴矿业有限公司</w:t>
      </w:r>
      <w:r>
        <w:rPr>
          <w:rFonts w:hint="default" w:ascii="Times New Roman" w:hAnsi="Times New Roman" w:eastAsia="仿宋" w:cs="Times New Roman"/>
          <w:color w:val="auto"/>
          <w:lang w:val="en-US" w:eastAsia="zh-CN"/>
        </w:rPr>
        <w:t>人员访谈记录表</w:t>
      </w:r>
    </w:p>
    <w:tbl>
      <w:tblPr>
        <w:tblStyle w:val="14"/>
        <w:tblW w:w="86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2681"/>
        <w:gridCol w:w="1200"/>
        <w:gridCol w:w="4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序号</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访谈问题</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访谈对象</w:t>
            </w:r>
          </w:p>
        </w:tc>
        <w:tc>
          <w:tcPr>
            <w:tcW w:w="4163"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访谈结果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1</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企业有没有存在环境投诉、环保纠纷等问题</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李总</w:t>
            </w:r>
          </w:p>
        </w:tc>
        <w:tc>
          <w:tcPr>
            <w:tcW w:w="4163"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不存在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2</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企业自建厂以来生产工艺、产能有过哪几次变更</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李总</w:t>
            </w:r>
          </w:p>
        </w:tc>
        <w:tc>
          <w:tcPr>
            <w:tcW w:w="4163"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未发生变更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3</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厂区的液体的储存是否有储罐及桶装2种方式</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李总</w:t>
            </w:r>
          </w:p>
        </w:tc>
        <w:tc>
          <w:tcPr>
            <w:tcW w:w="4163"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企业存在储罐储存的原辅料；</w:t>
            </w:r>
            <w:r>
              <w:rPr>
                <w:rFonts w:hint="eastAsia" w:eastAsia="仿宋" w:cs="Times New Roman"/>
                <w:color w:val="auto"/>
                <w:lang w:val="en-US" w:eastAsia="zh-CN"/>
              </w:rPr>
              <w:t>不存在桶装物料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4</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液体物料是否设装卸平台</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李总</w:t>
            </w:r>
          </w:p>
        </w:tc>
        <w:tc>
          <w:tcPr>
            <w:tcW w:w="4163"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不用设装卸平台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5</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企业是否建立隐患排场台账</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李总</w:t>
            </w:r>
          </w:p>
        </w:tc>
        <w:tc>
          <w:tcPr>
            <w:tcW w:w="4163"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还未建立隐患排查台账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6</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企业是否做了清洁生产审核和生产安全事故应急预案</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李总</w:t>
            </w:r>
          </w:p>
        </w:tc>
        <w:tc>
          <w:tcPr>
            <w:tcW w:w="4163" w:type="dxa"/>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未做清洁生产审核、未做安全事故应急预案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5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 xml:space="preserve"> 7</w:t>
            </w:r>
          </w:p>
        </w:tc>
        <w:tc>
          <w:tcPr>
            <w:tcW w:w="2681"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车间工人在操作过程中是否存在遗撒有毒有害物料等现象</w:t>
            </w:r>
          </w:p>
        </w:tc>
        <w:tc>
          <w:tcPr>
            <w:tcW w:w="1200"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李总</w:t>
            </w:r>
          </w:p>
        </w:tc>
        <w:tc>
          <w:tcPr>
            <w:tcW w:w="4163" w:type="dxa"/>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基本上不存在</w:t>
            </w:r>
          </w:p>
        </w:tc>
      </w:tr>
    </w:tbl>
    <w:p>
      <w:pPr>
        <w:pStyle w:val="6"/>
        <w:bidi w:val="0"/>
        <w:outlineLvl w:val="0"/>
        <w:rPr>
          <w:rFonts w:hint="default" w:ascii="Times New Roman" w:hAnsi="Times New Roman" w:eastAsia="仿宋" w:cs="Times New Roman"/>
          <w:color w:val="auto"/>
        </w:rPr>
      </w:pPr>
      <w:bookmarkStart w:id="23" w:name="_Toc28291"/>
      <w:r>
        <w:rPr>
          <w:rFonts w:hint="default" w:ascii="Times New Roman" w:hAnsi="Times New Roman" w:eastAsia="仿宋" w:cs="Times New Roman"/>
          <w:color w:val="auto"/>
        </w:rPr>
        <w:t>3.3重点场所或者重点设施设备确定</w:t>
      </w:r>
      <w:bookmarkEnd w:id="23"/>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通过现场踏勘和人员访谈以及相关资料收集，本次</w:t>
      </w: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土壤隐患排查确定的重点场所为：</w:t>
      </w:r>
      <w:r>
        <w:rPr>
          <w:rFonts w:hint="eastAsia" w:eastAsia="仿宋" w:cs="Times New Roman"/>
          <w:color w:val="auto"/>
          <w:sz w:val="30"/>
          <w:szCs w:val="30"/>
          <w:lang w:val="en-US" w:eastAsia="zh-CN"/>
        </w:rPr>
        <w:t>储罐区</w:t>
      </w:r>
      <w:r>
        <w:rPr>
          <w:rFonts w:hint="default" w:ascii="Times New Roman" w:hAnsi="Times New Roman" w:eastAsia="仿宋" w:cs="Times New Roman"/>
          <w:color w:val="auto"/>
          <w:sz w:val="30"/>
          <w:szCs w:val="30"/>
          <w:lang w:val="en-US" w:eastAsia="zh-CN"/>
        </w:rPr>
        <w:t>、危废暂存间。重点设施为：</w:t>
      </w:r>
      <w:r>
        <w:rPr>
          <w:rFonts w:hint="eastAsia" w:eastAsia="仿宋" w:cs="Times New Roman"/>
          <w:color w:val="auto"/>
          <w:sz w:val="30"/>
          <w:szCs w:val="30"/>
          <w:lang w:val="en-US" w:eastAsia="zh-CN"/>
        </w:rPr>
        <w:t>废油</w:t>
      </w:r>
      <w:r>
        <w:rPr>
          <w:rFonts w:hint="default" w:ascii="Times New Roman" w:hAnsi="Times New Roman" w:eastAsia="仿宋" w:cs="Times New Roman"/>
          <w:color w:val="auto"/>
          <w:sz w:val="30"/>
          <w:szCs w:val="30"/>
          <w:lang w:val="en-US" w:eastAsia="zh-CN"/>
        </w:rPr>
        <w:t>罐、。</w:t>
      </w:r>
    </w:p>
    <w:p>
      <w:pPr>
        <w:adjustRightInd w:val="0"/>
        <w:snapToGrid w:val="0"/>
        <w:spacing w:before="120" w:beforeLines="50" w:after="120" w:afterLines="50" w:line="240" w:lineRule="auto"/>
        <w:ind w:firstLine="0" w:firstLineChars="0"/>
        <w:jc w:val="center"/>
        <w:rPr>
          <w:rFonts w:hint="default" w:ascii="Times New Roman" w:hAnsi="Times New Roman" w:eastAsia="仿宋" w:cs="Times New Roman"/>
          <w:color w:val="auto"/>
          <w:szCs w:val="24"/>
        </w:rPr>
      </w:pPr>
      <w:r>
        <w:rPr>
          <w:rFonts w:hint="default" w:ascii="Times New Roman" w:hAnsi="Times New Roman" w:eastAsia="仿宋" w:cs="Times New Roman"/>
          <w:b/>
          <w:color w:val="auto"/>
          <w:szCs w:val="24"/>
        </w:rPr>
        <w:t>表</w:t>
      </w:r>
      <w:r>
        <w:rPr>
          <w:rFonts w:hint="default" w:ascii="Times New Roman" w:hAnsi="Times New Roman" w:eastAsia="仿宋" w:cs="Times New Roman"/>
          <w:b/>
          <w:color w:val="auto"/>
          <w:szCs w:val="24"/>
          <w:lang w:val="en-US" w:eastAsia="zh-CN"/>
        </w:rPr>
        <w:t>3-3</w:t>
      </w:r>
      <w:r>
        <w:rPr>
          <w:rFonts w:hint="default" w:ascii="Times New Roman" w:hAnsi="Times New Roman" w:eastAsia="仿宋" w:cs="Times New Roman"/>
          <w:b/>
          <w:color w:val="auto"/>
          <w:szCs w:val="24"/>
        </w:rPr>
        <w:t>有潜在土壤污染隐患的重点场所或者重点设施设备</w:t>
      </w:r>
    </w:p>
    <w:tbl>
      <w:tblPr>
        <w:tblStyle w:val="13"/>
        <w:tblW w:w="8720" w:type="dxa"/>
        <w:jc w:val="center"/>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751"/>
        <w:gridCol w:w="2759"/>
        <w:gridCol w:w="5210"/>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443" w:hRule="atLeast"/>
          <w:tblHeader/>
          <w:jc w:val="center"/>
        </w:trPr>
        <w:tc>
          <w:tcPr>
            <w:tcW w:w="751" w:type="dxa"/>
            <w:vAlign w:val="center"/>
          </w:tcPr>
          <w:p>
            <w:pPr>
              <w:adjustRightInd w:val="0"/>
              <w:snapToGrid w:val="0"/>
              <w:spacing w:line="240" w:lineRule="auto"/>
              <w:ind w:firstLine="0" w:firstLineChars="0"/>
              <w:jc w:val="center"/>
              <w:rPr>
                <w:rFonts w:hint="default" w:ascii="Times New Roman" w:hAnsi="Times New Roman" w:eastAsia="仿宋" w:cs="Times New Roman"/>
                <w:bCs/>
                <w:color w:val="auto"/>
                <w:sz w:val="21"/>
                <w:szCs w:val="21"/>
              </w:rPr>
            </w:pPr>
            <w:r>
              <w:rPr>
                <w:rFonts w:hint="default" w:ascii="Times New Roman" w:hAnsi="Times New Roman" w:eastAsia="仿宋" w:cs="Times New Roman"/>
                <w:bCs/>
                <w:color w:val="auto"/>
                <w:sz w:val="21"/>
                <w:szCs w:val="21"/>
              </w:rPr>
              <w:t>序号</w:t>
            </w:r>
          </w:p>
        </w:tc>
        <w:tc>
          <w:tcPr>
            <w:tcW w:w="2759" w:type="dxa"/>
            <w:vAlign w:val="center"/>
          </w:tcPr>
          <w:p>
            <w:pPr>
              <w:adjustRightInd w:val="0"/>
              <w:snapToGrid w:val="0"/>
              <w:spacing w:line="240" w:lineRule="auto"/>
              <w:ind w:firstLine="0" w:firstLineChars="0"/>
              <w:jc w:val="center"/>
              <w:rPr>
                <w:rFonts w:hint="default" w:ascii="Times New Roman" w:hAnsi="Times New Roman" w:eastAsia="仿宋" w:cs="Times New Roman"/>
                <w:bCs/>
                <w:color w:val="auto"/>
                <w:sz w:val="21"/>
                <w:szCs w:val="21"/>
              </w:rPr>
            </w:pPr>
            <w:r>
              <w:rPr>
                <w:rFonts w:hint="default" w:ascii="Times New Roman" w:hAnsi="Times New Roman" w:eastAsia="仿宋" w:cs="Times New Roman"/>
                <w:bCs/>
                <w:color w:val="auto"/>
                <w:sz w:val="21"/>
                <w:szCs w:val="21"/>
              </w:rPr>
              <w:t>涉及工业活动</w:t>
            </w:r>
          </w:p>
        </w:tc>
        <w:tc>
          <w:tcPr>
            <w:tcW w:w="5210" w:type="dxa"/>
            <w:vAlign w:val="center"/>
          </w:tcPr>
          <w:p>
            <w:pPr>
              <w:adjustRightInd w:val="0"/>
              <w:snapToGrid w:val="0"/>
              <w:spacing w:line="240" w:lineRule="auto"/>
              <w:ind w:firstLine="0" w:firstLineChars="0"/>
              <w:jc w:val="center"/>
              <w:rPr>
                <w:rFonts w:hint="default" w:ascii="Times New Roman" w:hAnsi="Times New Roman" w:eastAsia="仿宋" w:cs="Times New Roman"/>
                <w:bCs/>
                <w:color w:val="auto"/>
                <w:sz w:val="21"/>
                <w:szCs w:val="21"/>
              </w:rPr>
            </w:pPr>
            <w:r>
              <w:rPr>
                <w:rFonts w:hint="default" w:ascii="Times New Roman" w:hAnsi="Times New Roman" w:eastAsia="仿宋" w:cs="Times New Roman"/>
                <w:bCs/>
                <w:color w:val="auto"/>
                <w:sz w:val="21"/>
                <w:szCs w:val="21"/>
              </w:rPr>
              <w:t>重点场所或者重点设施设备</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51"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1</w:t>
            </w:r>
          </w:p>
        </w:tc>
        <w:tc>
          <w:tcPr>
            <w:tcW w:w="2759"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液体储存</w:t>
            </w:r>
          </w:p>
        </w:tc>
        <w:tc>
          <w:tcPr>
            <w:tcW w:w="5210" w:type="dxa"/>
            <w:vAlign w:val="center"/>
          </w:tcPr>
          <w:p>
            <w:pPr>
              <w:adjustRightInd w:val="0"/>
              <w:snapToGrid w:val="0"/>
              <w:spacing w:line="240" w:lineRule="auto"/>
              <w:ind w:firstLine="0" w:firstLineChars="0"/>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val="en-US" w:eastAsia="zh-CN"/>
              </w:rPr>
              <w:t>废油罐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573" w:hRule="atLeast"/>
          <w:jc w:val="center"/>
        </w:trPr>
        <w:tc>
          <w:tcPr>
            <w:tcW w:w="751"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2</w:t>
            </w:r>
          </w:p>
        </w:tc>
        <w:tc>
          <w:tcPr>
            <w:tcW w:w="2759"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散装液体转运与厂内运输</w:t>
            </w:r>
          </w:p>
        </w:tc>
        <w:tc>
          <w:tcPr>
            <w:tcW w:w="5210" w:type="dxa"/>
            <w:vAlign w:val="center"/>
          </w:tcPr>
          <w:p>
            <w:pPr>
              <w:adjustRightInd w:val="0"/>
              <w:snapToGrid w:val="0"/>
              <w:spacing w:line="240" w:lineRule="auto"/>
              <w:ind w:firstLine="0" w:firstLineChars="0"/>
              <w:rPr>
                <w:rFonts w:hint="eastAsia"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不涉及</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751"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3</w:t>
            </w:r>
          </w:p>
        </w:tc>
        <w:tc>
          <w:tcPr>
            <w:tcW w:w="2759"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货物的储存和传输</w:t>
            </w:r>
          </w:p>
        </w:tc>
        <w:tc>
          <w:tcPr>
            <w:tcW w:w="5210" w:type="dxa"/>
            <w:vAlign w:val="center"/>
          </w:tcPr>
          <w:p>
            <w:pPr>
              <w:adjustRightInd w:val="0"/>
              <w:snapToGrid w:val="0"/>
              <w:spacing w:line="240" w:lineRule="auto"/>
              <w:ind w:firstLine="0" w:firstLineChars="0"/>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槽罐车运输</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751"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4</w:t>
            </w:r>
          </w:p>
        </w:tc>
        <w:tc>
          <w:tcPr>
            <w:tcW w:w="2759"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生产区</w:t>
            </w:r>
          </w:p>
        </w:tc>
        <w:tc>
          <w:tcPr>
            <w:tcW w:w="5210" w:type="dxa"/>
            <w:vAlign w:val="center"/>
          </w:tcPr>
          <w:p>
            <w:pPr>
              <w:adjustRightInd w:val="0"/>
              <w:snapToGrid w:val="0"/>
              <w:spacing w:line="240" w:lineRule="auto"/>
              <w:ind w:firstLine="0" w:firstLineChars="0"/>
              <w:rPr>
                <w:rFonts w:hint="default" w:ascii="Times New Roman" w:hAnsi="Times New Roman" w:eastAsia="仿宋" w:cs="Times New Roman"/>
                <w:color w:val="auto"/>
                <w:sz w:val="21"/>
                <w:szCs w:val="21"/>
                <w:lang w:val="en-US" w:eastAsia="zh-CN"/>
              </w:rPr>
            </w:pPr>
            <w:r>
              <w:rPr>
                <w:rFonts w:hint="eastAsia" w:eastAsia="仿宋" w:cs="Times New Roman"/>
                <w:color w:val="auto"/>
                <w:sz w:val="21"/>
                <w:szCs w:val="21"/>
                <w:lang w:val="en-US" w:eastAsia="zh-CN"/>
              </w:rPr>
              <w:t>不涉及</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733" w:hRule="atLeast"/>
          <w:jc w:val="center"/>
        </w:trPr>
        <w:tc>
          <w:tcPr>
            <w:tcW w:w="751"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5</w:t>
            </w:r>
          </w:p>
        </w:tc>
        <w:tc>
          <w:tcPr>
            <w:tcW w:w="2759" w:type="dxa"/>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其他活动区</w:t>
            </w:r>
          </w:p>
        </w:tc>
        <w:tc>
          <w:tcPr>
            <w:tcW w:w="5210" w:type="dxa"/>
            <w:vAlign w:val="center"/>
          </w:tcPr>
          <w:p>
            <w:pPr>
              <w:adjustRightInd w:val="0"/>
              <w:snapToGrid w:val="0"/>
              <w:spacing w:line="240" w:lineRule="auto"/>
              <w:ind w:firstLine="0"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应急收集设施、</w:t>
            </w:r>
            <w:r>
              <w:rPr>
                <w:rFonts w:hint="eastAsia" w:eastAsia="仿宋" w:cs="Times New Roman"/>
                <w:color w:val="auto"/>
                <w:sz w:val="21"/>
                <w:szCs w:val="21"/>
                <w:lang w:eastAsia="zh-CN"/>
              </w:rPr>
              <w:t>锅炉房</w:t>
            </w:r>
            <w:r>
              <w:rPr>
                <w:rFonts w:hint="default" w:ascii="Times New Roman" w:hAnsi="Times New Roman" w:eastAsia="仿宋" w:cs="Times New Roman"/>
                <w:color w:val="auto"/>
                <w:sz w:val="21"/>
                <w:szCs w:val="21"/>
              </w:rPr>
              <w:t>、危险废物贮存库</w:t>
            </w:r>
          </w:p>
        </w:tc>
      </w:tr>
    </w:tbl>
    <w:p>
      <w:pPr>
        <w:pStyle w:val="6"/>
        <w:bidi w:val="0"/>
        <w:outlineLvl w:val="0"/>
        <w:rPr>
          <w:rFonts w:hint="default" w:ascii="Times New Roman" w:hAnsi="Times New Roman" w:eastAsia="仿宋" w:cs="Times New Roman"/>
          <w:color w:val="auto"/>
        </w:rPr>
      </w:pPr>
      <w:bookmarkStart w:id="24" w:name="_Toc10327"/>
      <w:r>
        <w:rPr>
          <w:rFonts w:hint="default" w:ascii="Times New Roman" w:hAnsi="Times New Roman" w:eastAsia="仿宋" w:cs="Times New Roman"/>
          <w:color w:val="auto"/>
        </w:rPr>
        <w:t>3.4现场排查方法</w:t>
      </w:r>
      <w:bookmarkEnd w:id="24"/>
    </w:p>
    <w:p>
      <w:pPr>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eastAsia="zh-CN"/>
        </w:rPr>
        <w:t>此次现场排场采取的是目视法和表格登记法进行隐患排查，通过建立表格，结合现场实际踏勘的情况如实填写记录相关信息，核实土壤隐患</w:t>
      </w:r>
      <w:r>
        <w:rPr>
          <w:rFonts w:hint="default" w:ascii="Times New Roman" w:hAnsi="Times New Roman" w:eastAsia="仿宋" w:cs="Times New Roman"/>
          <w:color w:val="auto"/>
          <w:sz w:val="30"/>
          <w:szCs w:val="30"/>
          <w:lang w:val="en-US" w:eastAsia="zh-CN"/>
        </w:rPr>
        <w:t>。</w:t>
      </w:r>
    </w:p>
    <w:p>
      <w:pPr>
        <w:ind w:left="0" w:leftChars="0" w:firstLine="0" w:firstLineChars="0"/>
        <w:rPr>
          <w:rFonts w:hint="default" w:ascii="Times New Roman" w:hAnsi="Times New Roman" w:eastAsia="仿宋" w:cs="Times New Roman"/>
          <w:color w:val="auto"/>
          <w:lang w:val="en-US" w:eastAsia="zh-CN"/>
        </w:rPr>
      </w:pPr>
    </w:p>
    <w:p>
      <w:pPr>
        <w:adjustRightInd w:val="0"/>
        <w:snapToGrid w:val="0"/>
        <w:spacing w:line="348" w:lineRule="auto"/>
        <w:ind w:firstLine="600"/>
        <w:rPr>
          <w:rFonts w:hint="default" w:ascii="Times New Roman" w:hAnsi="Times New Roman" w:eastAsia="仿宋" w:cs="Times New Roman"/>
          <w:color w:val="auto"/>
          <w:sz w:val="30"/>
          <w:szCs w:val="30"/>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numPr>
          <w:ilvl w:val="0"/>
          <w:numId w:val="0"/>
        </w:numPr>
        <w:bidi w:val="0"/>
        <w:jc w:val="center"/>
        <w:rPr>
          <w:rFonts w:hint="default" w:ascii="Times New Roman" w:hAnsi="Times New Roman" w:eastAsia="仿宋" w:cs="Times New Roman"/>
          <w:color w:val="auto"/>
        </w:rPr>
      </w:pPr>
      <w:bookmarkStart w:id="25" w:name="_Toc2241"/>
      <w:r>
        <w:rPr>
          <w:rFonts w:hint="default" w:ascii="Times New Roman" w:hAnsi="Times New Roman" w:eastAsia="仿宋" w:cs="Times New Roman"/>
          <w:color w:val="auto"/>
        </w:rPr>
        <w:t>4土壤污染隐患排查</w:t>
      </w:r>
      <w:bookmarkEnd w:id="25"/>
    </w:p>
    <w:p>
      <w:pPr>
        <w:pStyle w:val="6"/>
        <w:bidi w:val="0"/>
        <w:outlineLvl w:val="0"/>
        <w:rPr>
          <w:rFonts w:hint="default" w:ascii="Times New Roman" w:hAnsi="Times New Roman" w:eastAsia="仿宋" w:cs="Times New Roman"/>
          <w:color w:val="auto"/>
          <w:szCs w:val="30"/>
        </w:rPr>
      </w:pPr>
      <w:bookmarkStart w:id="26" w:name="_Toc11909"/>
      <w:r>
        <w:rPr>
          <w:rFonts w:hint="default" w:ascii="Times New Roman" w:hAnsi="Times New Roman" w:eastAsia="仿宋" w:cs="Times New Roman"/>
          <w:color w:val="auto"/>
        </w:rPr>
        <w:t>4.1重点场所、重点设施设备隐患排查</w:t>
      </w:r>
      <w:bookmarkEnd w:id="26"/>
    </w:p>
    <w:p>
      <w:pPr>
        <w:pStyle w:val="7"/>
        <w:bidi w:val="0"/>
        <w:rPr>
          <w:rFonts w:hint="default" w:ascii="Times New Roman" w:hAnsi="Times New Roman" w:eastAsia="仿宋" w:cs="Times New Roman"/>
          <w:color w:val="auto"/>
        </w:rPr>
      </w:pPr>
      <w:r>
        <w:rPr>
          <w:rFonts w:hint="default" w:ascii="Times New Roman" w:hAnsi="Times New Roman" w:eastAsia="仿宋" w:cs="Times New Roman"/>
          <w:color w:val="auto"/>
        </w:rPr>
        <w:t>4.1.1液体储存区</w:t>
      </w:r>
    </w:p>
    <w:p>
      <w:pPr>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涉及的液体储存包括：</w:t>
      </w:r>
      <w:r>
        <w:rPr>
          <w:rFonts w:hint="eastAsia" w:eastAsia="仿宋" w:cs="Times New Roman"/>
          <w:color w:val="auto"/>
          <w:sz w:val="30"/>
          <w:szCs w:val="30"/>
          <w:lang w:val="en-US" w:eastAsia="zh-CN"/>
        </w:rPr>
        <w:t>废沥青油罐</w:t>
      </w:r>
      <w:r>
        <w:rPr>
          <w:rFonts w:hint="default" w:ascii="Times New Roman" w:hAnsi="Times New Roman" w:eastAsia="仿宋" w:cs="Times New Roman"/>
          <w:color w:val="auto"/>
          <w:sz w:val="30"/>
          <w:szCs w:val="30"/>
          <w:lang w:val="en-US" w:eastAsia="zh-CN"/>
        </w:rPr>
        <w:t>，具体情况如下表所示。</w:t>
      </w:r>
    </w:p>
    <w:p>
      <w:pPr>
        <w:pStyle w:val="17"/>
        <w:bidi w:val="0"/>
        <w:rPr>
          <w:rFonts w:hint="default" w:ascii="Times New Roman" w:hAnsi="Times New Roman" w:eastAsia="仿宋" w:cs="Times New Roman"/>
          <w:color w:val="auto"/>
          <w:sz w:val="22"/>
          <w:szCs w:val="21"/>
          <w:vertAlign w:val="baseline"/>
          <w:lang w:val="en-US" w:eastAsia="zh-CN"/>
        </w:rPr>
      </w:pPr>
      <w:r>
        <w:rPr>
          <w:rFonts w:hint="default" w:ascii="Times New Roman" w:hAnsi="Times New Roman" w:eastAsia="仿宋" w:cs="Times New Roman"/>
          <w:color w:val="auto"/>
          <w:sz w:val="22"/>
          <w:szCs w:val="21"/>
          <w:lang w:val="en-US" w:eastAsia="zh-CN"/>
        </w:rPr>
        <w:t>表4-1</w:t>
      </w:r>
      <w:r>
        <w:rPr>
          <w:rFonts w:hint="eastAsia" w:eastAsia="仿宋" w:cs="Times New Roman"/>
          <w:color w:val="auto"/>
          <w:sz w:val="22"/>
          <w:szCs w:val="21"/>
          <w:lang w:val="en-US" w:eastAsia="zh-CN"/>
        </w:rPr>
        <w:t>岳阳市云溪区云兴矿业有限公司</w:t>
      </w:r>
      <w:r>
        <w:rPr>
          <w:rFonts w:hint="default" w:ascii="Times New Roman" w:hAnsi="Times New Roman" w:eastAsia="仿宋" w:cs="Times New Roman"/>
          <w:color w:val="auto"/>
          <w:sz w:val="22"/>
          <w:szCs w:val="21"/>
          <w:lang w:val="en-US" w:eastAsia="zh-CN"/>
        </w:rPr>
        <w:t>液体储存情况一览表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293"/>
        <w:gridCol w:w="1069"/>
        <w:gridCol w:w="1352"/>
        <w:gridCol w:w="1365"/>
        <w:gridCol w:w="1333"/>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序号</w:t>
            </w:r>
          </w:p>
        </w:tc>
        <w:tc>
          <w:tcPr>
            <w:tcW w:w="1293"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物料名称</w:t>
            </w:r>
          </w:p>
        </w:tc>
        <w:tc>
          <w:tcPr>
            <w:tcW w:w="1069"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储存方式</w:t>
            </w:r>
          </w:p>
        </w:tc>
        <w:tc>
          <w:tcPr>
            <w:tcW w:w="1352"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储存位置</w:t>
            </w:r>
          </w:p>
        </w:tc>
        <w:tc>
          <w:tcPr>
            <w:tcW w:w="1365"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存储量 t/a</w:t>
            </w:r>
          </w:p>
        </w:tc>
        <w:tc>
          <w:tcPr>
            <w:tcW w:w="1333"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土壤污染预防设施</w:t>
            </w:r>
          </w:p>
        </w:tc>
        <w:tc>
          <w:tcPr>
            <w:tcW w:w="1361" w:type="dxa"/>
            <w:vAlign w:val="center"/>
          </w:tcPr>
          <w:p>
            <w:pPr>
              <w:pStyle w:val="19"/>
              <w:bidi w:val="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土壤污染预防措施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745" w:type="dxa"/>
            <w:vAlign w:val="center"/>
          </w:tcPr>
          <w:p>
            <w:pPr>
              <w:pStyle w:val="19"/>
              <w:bidi w:val="0"/>
              <w:ind w:left="0" w:leftChars="0" w:right="0" w:rightChars="0" w:firstLine="0" w:firstLineChars="0"/>
              <w:rPr>
                <w:rFonts w:hint="default" w:ascii="Times New Roman" w:hAnsi="Times New Roman" w:eastAsia="仿宋" w:cs="Times New Roman"/>
                <w:bCs/>
                <w:color w:val="auto"/>
                <w:kern w:val="2"/>
                <w:sz w:val="21"/>
                <w:szCs w:val="28"/>
                <w:lang w:val="en-US" w:eastAsia="zh-CN" w:bidi="ar-SA"/>
              </w:rPr>
            </w:pPr>
            <w:r>
              <w:rPr>
                <w:rFonts w:hint="default" w:ascii="Times New Roman" w:hAnsi="Times New Roman" w:eastAsia="仿宋" w:cs="Times New Roman"/>
                <w:bCs/>
                <w:color w:val="auto"/>
                <w:kern w:val="2"/>
                <w:sz w:val="21"/>
                <w:szCs w:val="28"/>
                <w:lang w:val="en-US" w:eastAsia="zh-CN" w:bidi="ar-SA"/>
              </w:rPr>
              <w:t>1</w:t>
            </w:r>
          </w:p>
        </w:tc>
        <w:tc>
          <w:tcPr>
            <w:tcW w:w="1293"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废沥青油</w:t>
            </w:r>
          </w:p>
        </w:tc>
        <w:tc>
          <w:tcPr>
            <w:tcW w:w="1069"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储罐</w:t>
            </w:r>
          </w:p>
        </w:tc>
        <w:tc>
          <w:tcPr>
            <w:tcW w:w="1352"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储罐区</w:t>
            </w:r>
          </w:p>
        </w:tc>
        <w:tc>
          <w:tcPr>
            <w:tcW w:w="1365"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500</w:t>
            </w:r>
          </w:p>
        </w:tc>
        <w:tc>
          <w:tcPr>
            <w:tcW w:w="1333"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防泄漏围堰/水泥硬化地面</w:t>
            </w:r>
          </w:p>
        </w:tc>
        <w:tc>
          <w:tcPr>
            <w:tcW w:w="1361" w:type="dxa"/>
            <w:vAlign w:val="center"/>
          </w:tcPr>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未进行巡检/没有巡查记录</w:t>
            </w:r>
          </w:p>
        </w:tc>
      </w:tr>
    </w:tbl>
    <w:p>
      <w:pPr>
        <w:bidi w:val="0"/>
        <w:rPr>
          <w:rFonts w:hint="default" w:ascii="Times New Roman" w:hAnsi="Times New Roman" w:eastAsia="仿宋" w:cs="Times New Roman"/>
          <w:color w:val="auto"/>
          <w:lang w:val="en-US" w:eastAsia="zh-CN"/>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7"/>
        <w:gridCol w:w="4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7" w:type="dxa"/>
          </w:tcPr>
          <w:p>
            <w:pPr>
              <w:pStyle w:val="19"/>
              <w:bidi w:val="0"/>
              <w:rPr>
                <w:rFonts w:hint="default"/>
                <w:lang w:val="en-US" w:eastAsia="zh-CN"/>
              </w:rPr>
            </w:pPr>
            <w:r>
              <w:drawing>
                <wp:inline distT="0" distB="0" distL="114300" distR="114300">
                  <wp:extent cx="2531745" cy="1905000"/>
                  <wp:effectExtent l="0" t="0" r="1905"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8"/>
                          <a:stretch>
                            <a:fillRect/>
                          </a:stretch>
                        </pic:blipFill>
                        <pic:spPr>
                          <a:xfrm>
                            <a:off x="0" y="0"/>
                            <a:ext cx="2531745" cy="19050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lang w:val="en-US" w:eastAsia="zh-CN"/>
              </w:rPr>
            </w:pPr>
            <w:r>
              <w:rPr>
                <w:rFonts w:hint="eastAsia" w:ascii="Times New Roman" w:hAnsi="Times New Roman" w:eastAsia="仿宋" w:cs="Times New Roman"/>
                <w:bCs/>
                <w:color w:val="auto"/>
                <w:kern w:val="2"/>
                <w:sz w:val="21"/>
                <w:szCs w:val="28"/>
                <w:lang w:val="en-US" w:eastAsia="zh-CN" w:bidi="ar-SA"/>
              </w:rPr>
              <w:t>废沥青油储罐</w:t>
            </w:r>
          </w:p>
        </w:tc>
        <w:tc>
          <w:tcPr>
            <w:tcW w:w="4315" w:type="dxa"/>
          </w:tcPr>
          <w:p>
            <w:pPr>
              <w:pStyle w:val="19"/>
              <w:bidi w:val="0"/>
              <w:rPr>
                <w:rFonts w:hint="default" w:ascii="Times New Roman" w:hAnsi="Times New Roman" w:eastAsia="仿宋" w:cs="Times New Roman"/>
                <w:color w:val="auto"/>
                <w:lang w:val="en-US" w:eastAsia="zh-CN"/>
              </w:rPr>
            </w:pPr>
            <w:r>
              <w:drawing>
                <wp:inline distT="0" distB="0" distL="114300" distR="114300">
                  <wp:extent cx="2600960" cy="1964055"/>
                  <wp:effectExtent l="0" t="0" r="8890" b="1714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tretch>
                            <a:fillRect/>
                          </a:stretch>
                        </pic:blipFill>
                        <pic:spPr>
                          <a:xfrm>
                            <a:off x="0" y="0"/>
                            <a:ext cx="2600960" cy="1964055"/>
                          </a:xfrm>
                          <a:prstGeom prst="rect">
                            <a:avLst/>
                          </a:prstGeom>
                          <a:noFill/>
                          <a:ln>
                            <a:noFill/>
                          </a:ln>
                        </pic:spPr>
                      </pic:pic>
                    </a:graphicData>
                  </a:graphic>
                </wp:inline>
              </w:drawing>
            </w:r>
            <w:r>
              <w:rPr>
                <w:rFonts w:hint="eastAsia" w:ascii="Times New Roman" w:hAnsi="Times New Roman" w:eastAsia="仿宋" w:cs="Times New Roman"/>
                <w:bCs/>
                <w:color w:val="auto"/>
                <w:kern w:val="2"/>
                <w:sz w:val="21"/>
                <w:szCs w:val="28"/>
                <w:lang w:val="en-US" w:eastAsia="zh-CN" w:bidi="ar-SA"/>
              </w:rPr>
              <w:t>废沥青油储罐</w:t>
            </w:r>
          </w:p>
        </w:tc>
      </w:tr>
    </w:tbl>
    <w:p>
      <w:pPr>
        <w:pStyle w:val="17"/>
        <w:bidi w:val="0"/>
        <w:rPr>
          <w:rFonts w:hint="default" w:ascii="Times New Roman" w:hAnsi="Times New Roman" w:eastAsia="仿宋" w:cs="Times New Roman"/>
          <w:color w:val="auto"/>
          <w:sz w:val="24"/>
          <w:szCs w:val="22"/>
          <w:lang w:val="en-US" w:eastAsia="zh-CN"/>
        </w:rPr>
      </w:pPr>
      <w:r>
        <w:rPr>
          <w:rFonts w:hint="default" w:ascii="Times New Roman" w:hAnsi="Times New Roman" w:eastAsia="仿宋" w:cs="Times New Roman"/>
          <w:color w:val="auto"/>
          <w:sz w:val="24"/>
          <w:szCs w:val="22"/>
          <w:lang w:val="en-US" w:eastAsia="zh-CN"/>
        </w:rPr>
        <w:t>图4-1 液体储存区现状图</w:t>
      </w:r>
    </w:p>
    <w:p>
      <w:pPr>
        <w:pStyle w:val="7"/>
        <w:bidi w:val="0"/>
        <w:rPr>
          <w:rFonts w:hint="default" w:ascii="Times New Roman" w:hAnsi="Times New Roman" w:eastAsia="仿宋" w:cs="Times New Roman"/>
          <w:color w:val="auto"/>
        </w:rPr>
      </w:pPr>
      <w:r>
        <w:rPr>
          <w:rFonts w:hint="default" w:ascii="Times New Roman" w:hAnsi="Times New Roman" w:eastAsia="仿宋" w:cs="Times New Roman"/>
          <w:color w:val="auto"/>
        </w:rPr>
        <w:t>4.1.2散状液体转运与厂内运输区</w:t>
      </w:r>
    </w:p>
    <w:p>
      <w:pPr>
        <w:adjustRightInd w:val="0"/>
        <w:snapToGrid w:val="0"/>
        <w:spacing w:before="192" w:beforeLines="80"/>
        <w:ind w:firstLine="600"/>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rPr>
        <w:t>散装液体物料装卸造成土壤污染主要有两种情况：（1）液体物料的满溢；（2）装卸完成后，出料口及相关配件中残余液体物料的滴漏。</w:t>
      </w:r>
      <w:r>
        <w:rPr>
          <w:rFonts w:hint="default" w:ascii="Times New Roman" w:hAnsi="Times New Roman" w:eastAsia="仿宋" w:cs="Times New Roman"/>
          <w:b w:val="0"/>
          <w:bCs/>
          <w:color w:val="auto"/>
          <w:sz w:val="30"/>
          <w:szCs w:val="30"/>
        </w:rPr>
        <w:t>管道运输</w:t>
      </w:r>
      <w:r>
        <w:rPr>
          <w:rFonts w:hint="default" w:ascii="Times New Roman" w:hAnsi="Times New Roman" w:eastAsia="仿宋" w:cs="Times New Roman"/>
          <w:color w:val="auto"/>
          <w:sz w:val="30"/>
          <w:szCs w:val="30"/>
        </w:rPr>
        <w:t>包括地下管道和地上管道。管道运输造成土壤污染主要是由于管道的内、外腐蚀造成泄漏、渗漏</w:t>
      </w:r>
      <w:r>
        <w:rPr>
          <w:rFonts w:hint="default" w:ascii="Times New Roman" w:hAnsi="Times New Roman" w:eastAsia="仿宋" w:cs="Times New Roman"/>
          <w:color w:val="auto"/>
          <w:sz w:val="30"/>
          <w:szCs w:val="30"/>
          <w:lang w:eastAsia="zh-CN"/>
        </w:rPr>
        <w:t>；</w:t>
      </w:r>
      <w:r>
        <w:rPr>
          <w:rFonts w:hint="default" w:ascii="Times New Roman" w:hAnsi="Times New Roman" w:eastAsia="仿宋" w:cs="Times New Roman"/>
          <w:color w:val="auto"/>
          <w:sz w:val="30"/>
          <w:szCs w:val="30"/>
        </w:rPr>
        <w:t>一般而言，地下管道具有隐蔽性，土壤污染隐患更高。传输泵造成土壤污染主要有两种情况：（1）驱动轴或者配件的密封处发生泄漏；（2）润滑油的泄漏或者满溢。</w:t>
      </w:r>
    </w:p>
    <w:p>
      <w:pPr>
        <w:bidi w:val="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岳阳市云溪区云兴矿业有限公司不</w:t>
      </w:r>
      <w:r>
        <w:rPr>
          <w:rFonts w:hint="default" w:ascii="Times New Roman" w:hAnsi="Times New Roman" w:eastAsia="仿宋" w:cs="Times New Roman"/>
          <w:color w:val="auto"/>
          <w:sz w:val="30"/>
          <w:szCs w:val="30"/>
          <w:lang w:val="en-US" w:eastAsia="zh-CN"/>
        </w:rPr>
        <w:t>存在散装液体</w:t>
      </w:r>
      <w:r>
        <w:rPr>
          <w:rFonts w:hint="eastAsia" w:eastAsia="仿宋" w:cs="Times New Roman"/>
          <w:color w:val="auto"/>
          <w:sz w:val="30"/>
          <w:szCs w:val="30"/>
          <w:lang w:val="en-US" w:eastAsia="zh-CN"/>
        </w:rPr>
        <w:t>装卸</w:t>
      </w:r>
      <w:r>
        <w:rPr>
          <w:rFonts w:hint="default" w:ascii="Times New Roman" w:hAnsi="Times New Roman" w:eastAsia="仿宋" w:cs="Times New Roman"/>
          <w:color w:val="auto"/>
          <w:sz w:val="30"/>
          <w:szCs w:val="30"/>
          <w:lang w:val="en-US" w:eastAsia="zh-CN"/>
        </w:rPr>
        <w:t>。</w:t>
      </w:r>
    </w:p>
    <w:p>
      <w:pPr>
        <w:pStyle w:val="7"/>
        <w:bidi w:val="0"/>
        <w:rPr>
          <w:rFonts w:hint="default" w:ascii="Times New Roman" w:hAnsi="Times New Roman" w:eastAsia="仿宋" w:cs="Times New Roman"/>
          <w:color w:val="auto"/>
        </w:rPr>
      </w:pPr>
      <w:r>
        <w:rPr>
          <w:rFonts w:hint="default" w:ascii="Times New Roman" w:hAnsi="Times New Roman" w:eastAsia="仿宋" w:cs="Times New Roman"/>
          <w:color w:val="auto"/>
        </w:rPr>
        <w:t>4.1.3货物的储存和运输区</w:t>
      </w:r>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rPr>
        <w:t>散装货物储存和暂存</w:t>
      </w:r>
      <w:bookmarkStart w:id="27" w:name="OLE_LINK26"/>
      <w:bookmarkStart w:id="28" w:name="OLE_LINK25"/>
      <w:r>
        <w:rPr>
          <w:rFonts w:hint="default" w:ascii="Times New Roman" w:hAnsi="Times New Roman" w:eastAsia="仿宋" w:cs="Times New Roman"/>
          <w:color w:val="auto"/>
          <w:sz w:val="30"/>
          <w:szCs w:val="30"/>
        </w:rPr>
        <w:t>造成土壤污染主要</w:t>
      </w:r>
      <w:bookmarkEnd w:id="27"/>
      <w:bookmarkEnd w:id="28"/>
      <w:r>
        <w:rPr>
          <w:rFonts w:hint="default" w:ascii="Times New Roman" w:hAnsi="Times New Roman" w:eastAsia="仿宋" w:cs="Times New Roman"/>
          <w:color w:val="auto"/>
          <w:sz w:val="30"/>
          <w:szCs w:val="30"/>
        </w:rPr>
        <w:t>有两种情况：</w:t>
      </w:r>
      <w:bookmarkStart w:id="29" w:name="OLE_LINK27"/>
      <w:bookmarkStart w:id="30" w:name="OLE_LINK28"/>
      <w:r>
        <w:rPr>
          <w:rFonts w:hint="default" w:ascii="Times New Roman" w:hAnsi="Times New Roman" w:eastAsia="仿宋" w:cs="Times New Roman"/>
          <w:color w:val="auto"/>
          <w:sz w:val="30"/>
          <w:szCs w:val="30"/>
        </w:rPr>
        <w:t>（1）</w:t>
      </w:r>
      <w:bookmarkEnd w:id="29"/>
      <w:bookmarkEnd w:id="30"/>
      <w:r>
        <w:rPr>
          <w:rFonts w:hint="default" w:ascii="Times New Roman" w:hAnsi="Times New Roman" w:eastAsia="仿宋" w:cs="Times New Roman"/>
          <w:color w:val="auto"/>
          <w:sz w:val="30"/>
          <w:szCs w:val="30"/>
        </w:rPr>
        <w:t>散装干货物因雨水或者防尘喷淋水冲刷进入土壤；（2）散装湿货物因雨水冲刷，以及渗出有毒有害液体物质进入土壤。散装货物密闭式传输造成土壤污染主要是由于系统的过载</w:t>
      </w:r>
      <w:r>
        <w:rPr>
          <w:rFonts w:hint="default" w:ascii="Times New Roman" w:hAnsi="Times New Roman" w:eastAsia="仿宋" w:cs="Times New Roman"/>
          <w:color w:val="auto"/>
          <w:sz w:val="30"/>
          <w:szCs w:val="30"/>
          <w:lang w:eastAsia="zh-CN"/>
        </w:rPr>
        <w:t>；</w:t>
      </w:r>
      <w:r>
        <w:rPr>
          <w:rFonts w:hint="default" w:ascii="Times New Roman" w:hAnsi="Times New Roman" w:eastAsia="仿宋" w:cs="Times New Roman"/>
          <w:color w:val="auto"/>
          <w:sz w:val="30"/>
          <w:szCs w:val="30"/>
        </w:rPr>
        <w:t>散装货物开放式传输造成土壤污染</w:t>
      </w:r>
      <w:bookmarkStart w:id="31" w:name="OLE_LINK31"/>
      <w:bookmarkStart w:id="32" w:name="OLE_LINK32"/>
      <w:r>
        <w:rPr>
          <w:rFonts w:hint="default" w:ascii="Times New Roman" w:hAnsi="Times New Roman" w:eastAsia="仿宋" w:cs="Times New Roman"/>
          <w:color w:val="auto"/>
          <w:sz w:val="30"/>
          <w:szCs w:val="30"/>
        </w:rPr>
        <w:t>主要有两种情况</w:t>
      </w:r>
      <w:bookmarkEnd w:id="31"/>
      <w:bookmarkEnd w:id="32"/>
      <w:r>
        <w:rPr>
          <w:rFonts w:hint="default" w:ascii="Times New Roman" w:hAnsi="Times New Roman" w:eastAsia="仿宋" w:cs="Times New Roman"/>
          <w:color w:val="auto"/>
          <w:sz w:val="30"/>
          <w:szCs w:val="30"/>
        </w:rPr>
        <w:t>：（1）系统过载；（2）粉状物料扬散等造成土壤污染。</w:t>
      </w:r>
    </w:p>
    <w:p>
      <w:pPr>
        <w:bidi w:val="0"/>
        <w:rPr>
          <w:rFonts w:hint="default" w:ascii="Times New Roman" w:hAnsi="Times New Roman" w:eastAsia="仿宋" w:cs="Times New Roman"/>
          <w:color w:val="auto"/>
          <w:sz w:val="30"/>
          <w:szCs w:val="30"/>
          <w:lang w:val="en-US" w:eastAsia="zh-CN"/>
        </w:rPr>
      </w:pP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的货物主要包括</w:t>
      </w:r>
      <w:r>
        <w:rPr>
          <w:rFonts w:hint="eastAsia" w:eastAsia="仿宋" w:cs="Times New Roman"/>
          <w:color w:val="auto"/>
          <w:sz w:val="30"/>
          <w:szCs w:val="30"/>
          <w:lang w:val="en-US" w:eastAsia="zh-CN"/>
        </w:rPr>
        <w:t>废沥青油沉淀物，通过泵抽出黏着沉淀物，通过桶装方式暂存在危废暂存间</w:t>
      </w:r>
      <w:r>
        <w:rPr>
          <w:rFonts w:hint="default" w:ascii="Times New Roman" w:hAnsi="Times New Roman" w:eastAsia="仿宋" w:cs="Times New Roman"/>
          <w:color w:val="auto"/>
          <w:sz w:val="30"/>
          <w:szCs w:val="30"/>
          <w:lang w:val="en-US" w:eastAsia="zh-CN"/>
        </w:rPr>
        <w:t>。</w:t>
      </w:r>
    </w:p>
    <w:p>
      <w:pPr>
        <w:bidi w:val="0"/>
        <w:ind w:left="0" w:leftChars="0" w:firstLine="0" w:firstLineChars="0"/>
        <w:jc w:val="center"/>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表4-</w:t>
      </w:r>
      <w:r>
        <w:rPr>
          <w:rFonts w:hint="eastAsia" w:eastAsia="仿宋" w:cs="Times New Roman"/>
          <w:b/>
          <w:bCs/>
          <w:color w:val="auto"/>
          <w:sz w:val="24"/>
          <w:szCs w:val="24"/>
          <w:lang w:val="en-US" w:eastAsia="zh-CN"/>
        </w:rPr>
        <w:t>2</w:t>
      </w:r>
      <w:r>
        <w:rPr>
          <w:rFonts w:hint="default" w:ascii="Times New Roman" w:hAnsi="Times New Roman" w:eastAsia="仿宋" w:cs="Times New Roman"/>
          <w:b/>
          <w:bCs/>
          <w:color w:val="auto"/>
          <w:sz w:val="24"/>
          <w:szCs w:val="24"/>
          <w:lang w:val="en-US" w:eastAsia="zh-CN"/>
        </w:rPr>
        <w:t>货物储存与运输</w:t>
      </w:r>
    </w:p>
    <w:tbl>
      <w:tblPr>
        <w:tblStyle w:val="14"/>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226"/>
        <w:gridCol w:w="1318"/>
        <w:gridCol w:w="1069"/>
        <w:gridCol w:w="968"/>
        <w:gridCol w:w="1312"/>
        <w:gridCol w:w="1300"/>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641"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序号</w:t>
            </w:r>
          </w:p>
        </w:tc>
        <w:tc>
          <w:tcPr>
            <w:tcW w:w="1226" w:type="dxa"/>
            <w:vAlign w:val="center"/>
          </w:tcPr>
          <w:p>
            <w:pPr>
              <w:pStyle w:val="19"/>
              <w:bidi w:val="0"/>
              <w:ind w:left="0" w:leftChars="0" w:right="0" w:rightChars="0" w:firstLine="0" w:firstLineChars="0"/>
              <w:rPr>
                <w:rFonts w:hint="default" w:ascii="Times New Roman" w:hAnsi="Times New Roman" w:eastAsia="仿宋" w:cs="Times New Roman"/>
                <w:color w:val="auto"/>
              </w:rPr>
            </w:pPr>
            <w:r>
              <w:rPr>
                <w:rFonts w:hint="default" w:ascii="Times New Roman" w:hAnsi="Times New Roman" w:eastAsia="仿宋" w:cs="Times New Roman"/>
                <w:color w:val="auto"/>
                <w:lang w:val="en-US" w:eastAsia="zh-CN"/>
              </w:rPr>
              <w:t>货物名称</w:t>
            </w:r>
          </w:p>
        </w:tc>
        <w:tc>
          <w:tcPr>
            <w:tcW w:w="1318"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储存方式</w:t>
            </w:r>
          </w:p>
        </w:tc>
        <w:tc>
          <w:tcPr>
            <w:tcW w:w="1069"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储存位置</w:t>
            </w:r>
          </w:p>
        </w:tc>
        <w:tc>
          <w:tcPr>
            <w:tcW w:w="968" w:type="dxa"/>
            <w:vAlign w:val="center"/>
          </w:tcPr>
          <w:p>
            <w:pPr>
              <w:pStyle w:val="19"/>
              <w:bidi w:val="0"/>
              <w:ind w:left="0" w:leftChars="0" w:right="0" w:rightChars="0" w:firstLine="0" w:firstLineChars="0"/>
              <w:rPr>
                <w:rFonts w:hint="default" w:ascii="Times New Roman" w:hAnsi="Times New Roman" w:eastAsia="仿宋" w:cs="Times New Roman"/>
                <w:color w:val="auto"/>
              </w:rPr>
            </w:pPr>
            <w:r>
              <w:rPr>
                <w:rFonts w:hint="default" w:ascii="Times New Roman" w:hAnsi="Times New Roman" w:eastAsia="仿宋" w:cs="Times New Roman"/>
                <w:color w:val="auto"/>
                <w:lang w:val="en-US" w:eastAsia="zh-CN"/>
              </w:rPr>
              <w:t>存储量/t</w:t>
            </w:r>
          </w:p>
        </w:tc>
        <w:tc>
          <w:tcPr>
            <w:tcW w:w="1312"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土壤污染预防设施</w:t>
            </w:r>
          </w:p>
        </w:tc>
        <w:tc>
          <w:tcPr>
            <w:tcW w:w="1300"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土壤污染预防措施</w:t>
            </w:r>
          </w:p>
        </w:tc>
        <w:tc>
          <w:tcPr>
            <w:tcW w:w="1222"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运输与转运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41"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1</w:t>
            </w:r>
          </w:p>
        </w:tc>
        <w:tc>
          <w:tcPr>
            <w:tcW w:w="1226" w:type="dxa"/>
            <w:vAlign w:val="center"/>
          </w:tcPr>
          <w:p>
            <w:pPr>
              <w:pStyle w:val="19"/>
              <w:bidi w:val="0"/>
              <w:ind w:left="0" w:leftChars="0" w:right="0" w:rightChars="0" w:firstLine="0" w:firstLineChars="0"/>
              <w:rPr>
                <w:rFonts w:hint="default" w:ascii="Times New Roman" w:hAnsi="Times New Roman" w:eastAsia="仿宋" w:cs="Times New Roman"/>
                <w:color w:val="auto"/>
                <w:lang w:eastAsia="zh-CN"/>
              </w:rPr>
            </w:pPr>
            <w:r>
              <w:rPr>
                <w:rFonts w:hint="eastAsia" w:eastAsia="仿宋" w:cs="Times New Roman"/>
                <w:color w:val="auto"/>
                <w:lang w:eastAsia="zh-CN"/>
              </w:rPr>
              <w:t>沥青沉淀物</w:t>
            </w:r>
          </w:p>
        </w:tc>
        <w:tc>
          <w:tcPr>
            <w:tcW w:w="1318"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桶装</w:t>
            </w:r>
          </w:p>
        </w:tc>
        <w:tc>
          <w:tcPr>
            <w:tcW w:w="1069"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危废间</w:t>
            </w:r>
          </w:p>
        </w:tc>
        <w:tc>
          <w:tcPr>
            <w:tcW w:w="968"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20</w:t>
            </w:r>
          </w:p>
        </w:tc>
        <w:tc>
          <w:tcPr>
            <w:tcW w:w="1312"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地面硬化，顶部采用钢架棚遮盖</w:t>
            </w:r>
          </w:p>
        </w:tc>
        <w:tc>
          <w:tcPr>
            <w:tcW w:w="1300"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eastAsia" w:eastAsia="仿宋" w:cs="Times New Roman"/>
                <w:color w:val="auto"/>
                <w:lang w:val="en-US" w:eastAsia="zh-CN"/>
              </w:rPr>
              <w:t>没有</w:t>
            </w:r>
            <w:r>
              <w:rPr>
                <w:rFonts w:hint="default" w:ascii="Times New Roman" w:hAnsi="Times New Roman" w:eastAsia="仿宋" w:cs="Times New Roman"/>
                <w:color w:val="auto"/>
                <w:lang w:val="en-US" w:eastAsia="zh-CN"/>
              </w:rPr>
              <w:t>定期目视检查</w:t>
            </w:r>
          </w:p>
        </w:tc>
        <w:tc>
          <w:tcPr>
            <w:tcW w:w="1222" w:type="dxa"/>
            <w:vAlign w:val="center"/>
          </w:tcPr>
          <w:p>
            <w:pPr>
              <w:pStyle w:val="19"/>
              <w:bidi w:val="0"/>
              <w:ind w:left="0" w:leftChars="0" w:right="0" w:rightChars="0" w:firstLine="0" w:firstLineChars="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卡车运输，厂内道路硬化</w:t>
            </w:r>
          </w:p>
        </w:tc>
      </w:tr>
    </w:tbl>
    <w:p>
      <w:pPr>
        <w:bidi w:val="0"/>
        <w:rPr>
          <w:rFonts w:hint="default" w:ascii="Times New Roman" w:hAnsi="Times New Roman" w:eastAsia="仿宋" w:cs="Times New Roman"/>
          <w:color w:val="auto"/>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19"/>
              <w:bidi w:val="0"/>
              <w:rPr>
                <w:rFonts w:hint="default" w:ascii="Times New Roman" w:hAnsi="Times New Roman" w:eastAsia="仿宋" w:cs="Times New Roman"/>
                <w:color w:val="auto"/>
                <w:lang w:val="en-US" w:eastAsia="zh-CN"/>
              </w:rPr>
            </w:pPr>
            <w:r>
              <w:drawing>
                <wp:inline distT="0" distB="0" distL="114300" distR="114300">
                  <wp:extent cx="2499360" cy="1869440"/>
                  <wp:effectExtent l="0" t="0" r="15240"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2499360" cy="1869440"/>
                          </a:xfrm>
                          <a:prstGeom prst="rect">
                            <a:avLst/>
                          </a:prstGeom>
                          <a:noFill/>
                          <a:ln>
                            <a:noFill/>
                          </a:ln>
                        </pic:spPr>
                      </pic:pic>
                    </a:graphicData>
                  </a:graphic>
                </wp:inline>
              </w:drawing>
            </w:r>
          </w:p>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危废暂存间</w:t>
            </w:r>
          </w:p>
        </w:tc>
        <w:tc>
          <w:tcPr>
            <w:tcW w:w="4261" w:type="dxa"/>
          </w:tcPr>
          <w:p>
            <w:pPr>
              <w:pStyle w:val="19"/>
              <w:bidi w:val="0"/>
              <w:rPr>
                <w:rFonts w:hint="default" w:ascii="Times New Roman" w:hAnsi="Times New Roman" w:eastAsia="仿宋" w:cs="Times New Roman"/>
                <w:color w:val="auto"/>
                <w:lang w:val="en-US" w:eastAsia="zh-CN"/>
              </w:rPr>
            </w:pPr>
            <w:r>
              <w:drawing>
                <wp:inline distT="0" distB="0" distL="114300" distR="114300">
                  <wp:extent cx="2473960" cy="1844675"/>
                  <wp:effectExtent l="0" t="0" r="2540" b="31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2473960" cy="1844675"/>
                          </a:xfrm>
                          <a:prstGeom prst="rect">
                            <a:avLst/>
                          </a:prstGeom>
                          <a:noFill/>
                          <a:ln>
                            <a:noFill/>
                          </a:ln>
                        </pic:spPr>
                      </pic:pic>
                    </a:graphicData>
                  </a:graphic>
                </wp:inline>
              </w:drawing>
            </w:r>
          </w:p>
          <w:p>
            <w:pPr>
              <w:pStyle w:val="19"/>
              <w:bidi w:val="0"/>
              <w:rPr>
                <w:rFonts w:hint="eastAsia" w:ascii="Times New Roman" w:hAnsi="Times New Roman" w:eastAsia="仿宋" w:cs="Times New Roman"/>
                <w:color w:val="auto"/>
                <w:lang w:eastAsia="zh-CN"/>
              </w:rPr>
            </w:pPr>
            <w:r>
              <w:rPr>
                <w:rFonts w:hint="eastAsia" w:eastAsia="仿宋" w:cs="Times New Roman"/>
                <w:color w:val="auto"/>
                <w:lang w:eastAsia="zh-CN"/>
              </w:rPr>
              <w:t>桶装危废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pPr>
              <w:pStyle w:val="19"/>
              <w:bidi w:val="0"/>
              <w:jc w:val="both"/>
              <w:rPr>
                <w:rFonts w:hint="default" w:ascii="Times New Roman" w:hAnsi="Times New Roman" w:eastAsia="仿宋" w:cs="Times New Roman"/>
                <w:color w:val="auto"/>
                <w:lang w:val="en-US" w:eastAsia="zh-CN"/>
              </w:rPr>
            </w:pPr>
          </w:p>
        </w:tc>
      </w:tr>
    </w:tbl>
    <w:p>
      <w:pPr>
        <w:pStyle w:val="17"/>
        <w:bidi w:val="0"/>
        <w:rPr>
          <w:rFonts w:hint="default" w:ascii="Times New Roman" w:hAnsi="Times New Roman" w:eastAsia="仿宋" w:cs="Times New Roman"/>
          <w:color w:val="auto"/>
          <w:sz w:val="24"/>
          <w:szCs w:val="22"/>
          <w:lang w:val="en-US" w:eastAsia="zh-CN"/>
        </w:rPr>
      </w:pPr>
      <w:r>
        <w:rPr>
          <w:rFonts w:hint="default" w:ascii="Times New Roman" w:hAnsi="Times New Roman" w:eastAsia="仿宋" w:cs="Times New Roman"/>
          <w:color w:val="auto"/>
          <w:sz w:val="24"/>
          <w:szCs w:val="22"/>
          <w:lang w:eastAsia="zh-CN"/>
        </w:rPr>
        <w:t>图</w:t>
      </w:r>
      <w:r>
        <w:rPr>
          <w:rFonts w:hint="default" w:ascii="Times New Roman" w:hAnsi="Times New Roman" w:eastAsia="仿宋" w:cs="Times New Roman"/>
          <w:color w:val="auto"/>
          <w:sz w:val="24"/>
          <w:szCs w:val="22"/>
          <w:lang w:val="en-US" w:eastAsia="zh-CN"/>
        </w:rPr>
        <w:t>4-3货物暂存现状图</w:t>
      </w:r>
    </w:p>
    <w:p>
      <w:pPr>
        <w:pStyle w:val="7"/>
        <w:bidi w:val="0"/>
        <w:rPr>
          <w:rFonts w:hint="default" w:ascii="Times New Roman" w:hAnsi="Times New Roman" w:eastAsia="仿宋" w:cs="Times New Roman"/>
          <w:color w:val="auto"/>
        </w:rPr>
      </w:pPr>
      <w:r>
        <w:rPr>
          <w:rFonts w:hint="default" w:ascii="Times New Roman" w:hAnsi="Times New Roman" w:eastAsia="仿宋" w:cs="Times New Roman"/>
          <w:color w:val="auto"/>
        </w:rPr>
        <w:t>4.1.4生产区</w:t>
      </w:r>
    </w:p>
    <w:p>
      <w:pPr>
        <w:bidi w:val="0"/>
        <w:rPr>
          <w:rFonts w:hint="default" w:ascii="Times New Roman" w:hAnsi="Times New Roman" w:eastAsia="仿宋" w:cs="Times New Roman"/>
          <w:color w:val="auto"/>
          <w:sz w:val="30"/>
          <w:szCs w:val="30"/>
          <w:vertAlign w:val="baseline"/>
          <w:lang w:val="en-US" w:eastAsia="zh-CN"/>
        </w:rPr>
      </w:pPr>
      <w:r>
        <w:rPr>
          <w:rFonts w:hint="eastAsia" w:eastAsia="仿宋" w:cs="Times New Roman"/>
          <w:color w:val="auto"/>
          <w:sz w:val="30"/>
          <w:szCs w:val="30"/>
          <w:lang w:eastAsia="zh-CN"/>
        </w:rPr>
        <w:t>项目没有生产区</w:t>
      </w:r>
      <w:r>
        <w:rPr>
          <w:rFonts w:hint="default" w:ascii="Times New Roman" w:hAnsi="Times New Roman" w:eastAsia="仿宋" w:cs="Times New Roman"/>
          <w:color w:val="auto"/>
          <w:sz w:val="30"/>
          <w:szCs w:val="30"/>
          <w:lang w:val="en-US" w:eastAsia="zh-CN"/>
        </w:rPr>
        <w:t>。</w:t>
      </w:r>
    </w:p>
    <w:p>
      <w:pPr>
        <w:bidi w:val="0"/>
        <w:rPr>
          <w:rFonts w:hint="default" w:ascii="Times New Roman" w:hAnsi="Times New Roman" w:eastAsia="仿宋" w:cs="Times New Roman"/>
          <w:color w:val="auto"/>
        </w:rPr>
      </w:pPr>
      <w:r>
        <w:rPr>
          <w:rStyle w:val="22"/>
          <w:rFonts w:hint="default" w:ascii="Times New Roman" w:hAnsi="Times New Roman" w:eastAsia="仿宋" w:cs="Times New Roman"/>
          <w:color w:val="auto"/>
        </w:rPr>
        <w:t>4.1.5其他活动区</w:t>
      </w:r>
    </w:p>
    <w:p>
      <w:pPr>
        <w:keepNext w:val="0"/>
        <w:keepLines w:val="0"/>
        <w:pageBreakBefore w:val="0"/>
        <w:widowControl w:val="0"/>
        <w:kinsoku/>
        <w:wordWrap/>
        <w:overflowPunct/>
        <w:topLinePunct w:val="0"/>
        <w:autoSpaceDE/>
        <w:autoSpaceDN/>
        <w:bidi w:val="0"/>
        <w:adjustRightInd w:val="0"/>
        <w:snapToGrid w:val="0"/>
        <w:spacing w:before="157" w:beforeLines="50" w:line="348" w:lineRule="auto"/>
        <w:ind w:firstLine="600"/>
        <w:textAlignment w:val="auto"/>
        <w:rPr>
          <w:rFonts w:hint="default" w:ascii="Times New Roman" w:hAnsi="Times New Roman" w:eastAsia="仿宋" w:cs="Times New Roman"/>
          <w:b/>
          <w:color w:val="auto"/>
          <w:sz w:val="30"/>
          <w:szCs w:val="30"/>
        </w:rPr>
      </w:pPr>
      <w:r>
        <w:rPr>
          <w:rFonts w:hint="default" w:ascii="Times New Roman" w:hAnsi="Times New Roman" w:eastAsia="仿宋" w:cs="Times New Roman"/>
          <w:b/>
          <w:color w:val="auto"/>
          <w:sz w:val="30"/>
          <w:szCs w:val="30"/>
          <w:lang w:val="en-US" w:eastAsia="zh-CN"/>
        </w:rPr>
        <w:t>1、</w:t>
      </w:r>
      <w:r>
        <w:rPr>
          <w:rFonts w:hint="default" w:ascii="Times New Roman" w:hAnsi="Times New Roman" w:eastAsia="仿宋" w:cs="Times New Roman"/>
          <w:b/>
          <w:color w:val="auto"/>
          <w:sz w:val="30"/>
          <w:szCs w:val="30"/>
        </w:rPr>
        <w:t>废水排水系统</w:t>
      </w:r>
    </w:p>
    <w:p>
      <w:pPr>
        <w:bidi w:val="0"/>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rPr>
        <w:t>废水排水系统造成土壤污染主要是管道、设备连接处、涵洞、排水口、污水井、分离系统（如清污分离系统、油水分离系统）等地方的泄漏、渗漏或者溢流。</w:t>
      </w:r>
    </w:p>
    <w:p>
      <w:pPr>
        <w:bidi w:val="0"/>
        <w:rPr>
          <w:rFonts w:hint="default" w:ascii="Times New Roman" w:hAnsi="Times New Roman" w:eastAsia="仿宋" w:cs="Times New Roman"/>
          <w:color w:val="auto"/>
          <w:sz w:val="30"/>
          <w:szCs w:val="30"/>
          <w:vertAlign w:val="baseline"/>
          <w:lang w:val="en-US" w:eastAsia="zh-CN"/>
        </w:rPr>
      </w:pPr>
      <w:r>
        <w:rPr>
          <w:rFonts w:hint="eastAsia" w:eastAsia="仿宋" w:cs="Times New Roman"/>
          <w:color w:val="auto"/>
          <w:sz w:val="30"/>
          <w:szCs w:val="30"/>
          <w:lang w:eastAsia="zh-CN"/>
        </w:rPr>
        <w:t>岳阳市云溪区云兴矿业有限公司无废水排放</w:t>
      </w:r>
      <w:r>
        <w:rPr>
          <w:rFonts w:hint="default" w:ascii="Times New Roman" w:hAnsi="Times New Roman" w:eastAsia="仿宋" w:cs="Times New Roman"/>
          <w:color w:val="auto"/>
          <w:sz w:val="30"/>
          <w:szCs w:val="30"/>
          <w:lang w:eastAsia="zh-CN"/>
        </w:rPr>
        <w:t>。</w:t>
      </w:r>
    </w:p>
    <w:p>
      <w:pPr>
        <w:adjustRightInd w:val="0"/>
        <w:snapToGrid w:val="0"/>
        <w:spacing w:before="192" w:beforeLines="80"/>
        <w:rPr>
          <w:rFonts w:hint="default" w:ascii="Times New Roman" w:hAnsi="Times New Roman" w:eastAsia="仿宋" w:cs="Times New Roman"/>
          <w:b/>
          <w:color w:val="auto"/>
          <w:sz w:val="30"/>
          <w:szCs w:val="30"/>
        </w:rPr>
      </w:pPr>
      <w:r>
        <w:rPr>
          <w:rFonts w:hint="default" w:ascii="Times New Roman" w:hAnsi="Times New Roman" w:eastAsia="仿宋" w:cs="Times New Roman"/>
          <w:b/>
          <w:color w:val="auto"/>
          <w:sz w:val="30"/>
          <w:szCs w:val="30"/>
          <w:lang w:val="en-US" w:eastAsia="zh-CN"/>
        </w:rPr>
        <w:t>2、</w:t>
      </w:r>
      <w:r>
        <w:rPr>
          <w:rFonts w:hint="default" w:ascii="Times New Roman" w:hAnsi="Times New Roman" w:eastAsia="仿宋" w:cs="Times New Roman"/>
          <w:b/>
          <w:color w:val="auto"/>
          <w:sz w:val="30"/>
          <w:szCs w:val="30"/>
        </w:rPr>
        <w:t>应急收集设施</w:t>
      </w:r>
    </w:p>
    <w:p>
      <w:pPr>
        <w:adjustRightInd w:val="0"/>
        <w:snapToGrid w:val="0"/>
        <w:ind w:firstLine="600"/>
        <w:rPr>
          <w:rFonts w:hint="default" w:ascii="Times New Roman" w:hAnsi="Times New Roman" w:eastAsia="仿宋" w:cs="Times New Roman"/>
          <w:bCs/>
          <w:color w:val="auto"/>
          <w:sz w:val="30"/>
          <w:szCs w:val="30"/>
          <w:lang w:eastAsia="zh-CN"/>
        </w:rPr>
      </w:pPr>
      <w:r>
        <w:rPr>
          <w:rFonts w:hint="default" w:ascii="Times New Roman" w:hAnsi="Times New Roman" w:eastAsia="仿宋" w:cs="Times New Roman"/>
          <w:color w:val="auto"/>
          <w:sz w:val="30"/>
          <w:szCs w:val="30"/>
        </w:rPr>
        <w:t>应急收集设施造成土壤污染主要是设施的老化造成的渗漏、流失。</w:t>
      </w:r>
      <w:r>
        <w:rPr>
          <w:rFonts w:hint="eastAsia" w:eastAsia="仿宋" w:cs="Times New Roman"/>
          <w:bCs/>
          <w:color w:val="auto"/>
          <w:sz w:val="30"/>
          <w:szCs w:val="30"/>
          <w:lang w:eastAsia="zh-CN"/>
        </w:rPr>
        <w:t>岳阳市云溪区云兴矿业有限公司</w:t>
      </w:r>
      <w:r>
        <w:rPr>
          <w:rFonts w:hint="default" w:ascii="Times New Roman" w:hAnsi="Times New Roman" w:eastAsia="仿宋" w:cs="Times New Roman"/>
          <w:bCs/>
          <w:color w:val="auto"/>
          <w:sz w:val="30"/>
          <w:szCs w:val="30"/>
          <w:lang w:eastAsia="zh-CN"/>
        </w:rPr>
        <w:t>需要设置应急收集设施的主要场所为生产污水暂存区，企业现设置</w:t>
      </w:r>
      <w:r>
        <w:rPr>
          <w:rFonts w:hint="eastAsia" w:eastAsia="仿宋" w:cs="Times New Roman"/>
          <w:bCs/>
          <w:color w:val="auto"/>
          <w:sz w:val="30"/>
          <w:szCs w:val="30"/>
          <w:lang w:val="en-US" w:eastAsia="zh-CN"/>
        </w:rPr>
        <w:t>4</w:t>
      </w:r>
      <w:r>
        <w:rPr>
          <w:rFonts w:hint="default" w:ascii="Times New Roman" w:hAnsi="Times New Roman" w:eastAsia="仿宋" w:cs="Times New Roman"/>
          <w:bCs/>
          <w:color w:val="auto"/>
          <w:sz w:val="30"/>
          <w:szCs w:val="30"/>
          <w:lang w:val="en-US" w:eastAsia="zh-CN"/>
        </w:rPr>
        <w:t>0m³的</w:t>
      </w:r>
      <w:r>
        <w:rPr>
          <w:rFonts w:hint="default" w:ascii="Times New Roman" w:hAnsi="Times New Roman" w:eastAsia="仿宋" w:cs="Times New Roman"/>
          <w:bCs/>
          <w:color w:val="auto"/>
          <w:sz w:val="30"/>
          <w:szCs w:val="30"/>
          <w:lang w:eastAsia="zh-CN"/>
        </w:rPr>
        <w:t>事故应急池。</w:t>
      </w:r>
    </w:p>
    <w:p>
      <w:pPr>
        <w:adjustRightInd w:val="0"/>
        <w:snapToGrid w:val="0"/>
        <w:spacing w:before="120" w:beforeLines="50" w:after="120" w:afterLines="50" w:line="240" w:lineRule="auto"/>
        <w:ind w:firstLine="0" w:firstLineChars="0"/>
        <w:jc w:val="center"/>
        <w:rPr>
          <w:rFonts w:hint="default" w:ascii="Times New Roman" w:hAnsi="Times New Roman" w:eastAsia="仿宋" w:cs="Times New Roman"/>
          <w:b/>
          <w:color w:val="auto"/>
          <w:szCs w:val="24"/>
        </w:rPr>
      </w:pPr>
      <w:r>
        <w:rPr>
          <w:rFonts w:hint="default" w:ascii="Times New Roman" w:hAnsi="Times New Roman" w:eastAsia="仿宋" w:cs="Times New Roman"/>
          <w:b/>
          <w:color w:val="auto"/>
          <w:szCs w:val="24"/>
        </w:rPr>
        <w:t>表</w:t>
      </w:r>
      <w:r>
        <w:rPr>
          <w:rFonts w:hint="default" w:ascii="Times New Roman" w:hAnsi="Times New Roman" w:eastAsia="仿宋" w:cs="Times New Roman"/>
          <w:b/>
          <w:color w:val="auto"/>
          <w:szCs w:val="24"/>
          <w:lang w:val="en-US" w:eastAsia="zh-CN"/>
        </w:rPr>
        <w:t>4-</w:t>
      </w:r>
      <w:r>
        <w:rPr>
          <w:rFonts w:hint="eastAsia" w:eastAsia="仿宋" w:cs="Times New Roman"/>
          <w:b/>
          <w:color w:val="auto"/>
          <w:szCs w:val="24"/>
          <w:lang w:val="en-US" w:eastAsia="zh-CN"/>
        </w:rPr>
        <w:t>3</w:t>
      </w:r>
      <w:r>
        <w:rPr>
          <w:rFonts w:hint="default" w:ascii="Times New Roman" w:hAnsi="Times New Roman" w:eastAsia="仿宋" w:cs="Times New Roman"/>
          <w:b/>
          <w:color w:val="auto"/>
          <w:szCs w:val="24"/>
        </w:rPr>
        <w:t>应急收集设施土壤污染预防设施与措施</w:t>
      </w:r>
    </w:p>
    <w:tbl>
      <w:tblPr>
        <w:tblStyle w:val="1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2"/>
        <w:gridCol w:w="3121"/>
        <w:gridCol w:w="45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blHeader/>
        </w:trPr>
        <w:tc>
          <w:tcPr>
            <w:tcW w:w="1382" w:type="dxa"/>
            <w:tcBorders>
              <w:top w:val="single" w:color="auto" w:sz="8"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lang w:eastAsia="zh-CN"/>
              </w:rPr>
              <w:t>名称</w:t>
            </w:r>
          </w:p>
        </w:tc>
        <w:tc>
          <w:tcPr>
            <w:tcW w:w="3121" w:type="dxa"/>
            <w:tcBorders>
              <w:top w:val="single" w:color="auto" w:sz="8"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土壤污染预防</w:t>
            </w:r>
            <w:bookmarkStart w:id="33" w:name="_Hlk59553061"/>
            <w:r>
              <w:rPr>
                <w:rFonts w:hint="default" w:ascii="Times New Roman" w:hAnsi="Times New Roman" w:eastAsia="仿宋" w:cs="Times New Roman"/>
                <w:color w:val="auto"/>
                <w:sz w:val="21"/>
                <w:szCs w:val="21"/>
              </w:rPr>
              <w:t>设施/功能</w:t>
            </w:r>
            <w:bookmarkEnd w:id="33"/>
          </w:p>
        </w:tc>
        <w:tc>
          <w:tcPr>
            <w:tcW w:w="4557" w:type="dxa"/>
            <w:tcBorders>
              <w:top w:val="single" w:color="auto" w:sz="8"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土壤污染预防措施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382"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lang w:eastAsia="zh-CN"/>
              </w:rPr>
              <w:t>事故废水暂存区</w:t>
            </w:r>
          </w:p>
        </w:tc>
        <w:tc>
          <w:tcPr>
            <w:tcW w:w="3121" w:type="dxa"/>
            <w:tcBorders>
              <w:top w:val="single" w:color="auto" w:sz="4" w:space="0"/>
              <w:left w:val="single" w:color="auto" w:sz="4" w:space="0"/>
              <w:bottom w:val="single" w:color="auto" w:sz="4" w:space="0"/>
              <w:right w:val="single" w:color="auto" w:sz="4" w:space="0"/>
            </w:tcBorders>
            <w:noWrap w:val="0"/>
            <w:vAlign w:val="center"/>
          </w:tcPr>
          <w:p>
            <w:pPr>
              <w:pStyle w:val="21"/>
              <w:numPr>
                <w:ilvl w:val="0"/>
                <w:numId w:val="7"/>
              </w:numPr>
              <w:adjustRightInd w:val="0"/>
              <w:snapToGrid w:val="0"/>
              <w:spacing w:line="240" w:lineRule="auto"/>
              <w:ind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lang w:eastAsia="zh-CN"/>
              </w:rPr>
              <w:t>地面做硬化防渗处理</w:t>
            </w:r>
          </w:p>
        </w:tc>
        <w:tc>
          <w:tcPr>
            <w:tcW w:w="4557" w:type="dxa"/>
            <w:tcBorders>
              <w:top w:val="single" w:color="auto" w:sz="4" w:space="0"/>
              <w:left w:val="single" w:color="auto" w:sz="4" w:space="0"/>
              <w:bottom w:val="single" w:color="auto" w:sz="4" w:space="0"/>
              <w:right w:val="single" w:color="auto" w:sz="8" w:space="0"/>
            </w:tcBorders>
            <w:noWrap w:val="0"/>
            <w:vAlign w:val="center"/>
          </w:tcPr>
          <w:p>
            <w:pPr>
              <w:pStyle w:val="21"/>
              <w:numPr>
                <w:ilvl w:val="0"/>
                <w:numId w:val="7"/>
              </w:numPr>
              <w:adjustRightInd w:val="0"/>
              <w:snapToGrid w:val="0"/>
              <w:spacing w:line="240" w:lineRule="auto"/>
              <w:ind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lang w:eastAsia="zh-CN"/>
              </w:rPr>
              <w:t>事故废水暂存时定期目视检查，及时分批次转移废水</w:t>
            </w:r>
          </w:p>
        </w:tc>
      </w:tr>
    </w:tbl>
    <w:p>
      <w:pPr>
        <w:adjustRightInd w:val="0"/>
        <w:snapToGrid w:val="0"/>
        <w:spacing w:before="192" w:beforeLines="80"/>
        <w:ind w:firstLine="600"/>
        <w:rPr>
          <w:rFonts w:hint="default" w:ascii="Times New Roman" w:hAnsi="Times New Roman" w:eastAsia="仿宋" w:cs="Times New Roman"/>
          <w:b/>
          <w:color w:val="auto"/>
          <w:sz w:val="30"/>
          <w:szCs w:val="30"/>
        </w:rPr>
      </w:pPr>
      <w:r>
        <w:rPr>
          <w:rFonts w:hint="default" w:ascii="Times New Roman" w:hAnsi="Times New Roman" w:eastAsia="仿宋" w:cs="Times New Roman"/>
          <w:b/>
          <w:color w:val="auto"/>
          <w:sz w:val="30"/>
          <w:szCs w:val="30"/>
          <w:lang w:val="en-US" w:eastAsia="zh-CN"/>
        </w:rPr>
        <w:t>3、</w:t>
      </w:r>
      <w:r>
        <w:rPr>
          <w:rFonts w:hint="default" w:ascii="Times New Roman" w:hAnsi="Times New Roman" w:eastAsia="仿宋" w:cs="Times New Roman"/>
          <w:b/>
          <w:color w:val="auto"/>
          <w:sz w:val="30"/>
          <w:szCs w:val="30"/>
        </w:rPr>
        <w:t>车间操作活动</w:t>
      </w:r>
    </w:p>
    <w:p>
      <w:pPr>
        <w:ind w:firstLine="600"/>
        <w:rPr>
          <w:rFonts w:hint="default" w:ascii="Times New Roman" w:hAnsi="Times New Roman" w:eastAsia="仿宋" w:cs="Times New Roman"/>
          <w:bCs/>
          <w:color w:val="auto"/>
          <w:sz w:val="30"/>
          <w:szCs w:val="30"/>
          <w:lang w:eastAsia="zh-CN"/>
        </w:rPr>
      </w:pPr>
      <w:r>
        <w:rPr>
          <w:rFonts w:hint="eastAsia" w:eastAsia="仿宋" w:cs="Times New Roman"/>
          <w:color w:val="auto"/>
          <w:sz w:val="30"/>
          <w:szCs w:val="30"/>
          <w:lang w:eastAsia="zh-CN"/>
        </w:rPr>
        <w:t>车间操作活动主要为给燃煤锅炉进行加料燃烧</w:t>
      </w:r>
      <w:r>
        <w:rPr>
          <w:rFonts w:hint="default" w:ascii="Times New Roman" w:hAnsi="Times New Roman" w:eastAsia="仿宋" w:cs="Times New Roman"/>
          <w:color w:val="auto"/>
          <w:sz w:val="30"/>
          <w:szCs w:val="30"/>
          <w:lang w:eastAsia="zh-CN"/>
        </w:rPr>
        <w:t>。</w:t>
      </w:r>
    </w:p>
    <w:p>
      <w:pPr>
        <w:adjustRightInd w:val="0"/>
        <w:snapToGrid w:val="0"/>
        <w:spacing w:before="120" w:beforeLines="50" w:after="120" w:afterLines="50" w:line="240" w:lineRule="auto"/>
        <w:ind w:firstLine="0" w:firstLineChars="0"/>
        <w:jc w:val="center"/>
        <w:rPr>
          <w:rFonts w:hint="default" w:ascii="Times New Roman" w:hAnsi="Times New Roman" w:eastAsia="仿宋" w:cs="Times New Roman"/>
          <w:b/>
          <w:color w:val="auto"/>
          <w:szCs w:val="24"/>
        </w:rPr>
      </w:pPr>
      <w:r>
        <w:rPr>
          <w:rFonts w:hint="default" w:ascii="Times New Roman" w:hAnsi="Times New Roman" w:eastAsia="仿宋" w:cs="Times New Roman"/>
          <w:b/>
          <w:color w:val="auto"/>
          <w:szCs w:val="24"/>
        </w:rPr>
        <w:t>表</w:t>
      </w:r>
      <w:r>
        <w:rPr>
          <w:rFonts w:hint="default" w:ascii="Times New Roman" w:hAnsi="Times New Roman" w:eastAsia="仿宋" w:cs="Times New Roman"/>
          <w:b/>
          <w:color w:val="auto"/>
          <w:szCs w:val="24"/>
          <w:lang w:val="en-US" w:eastAsia="zh-CN"/>
        </w:rPr>
        <w:t>4-</w:t>
      </w:r>
      <w:r>
        <w:rPr>
          <w:rFonts w:hint="eastAsia" w:eastAsia="仿宋" w:cs="Times New Roman"/>
          <w:b/>
          <w:color w:val="auto"/>
          <w:szCs w:val="24"/>
          <w:lang w:val="en-US" w:eastAsia="zh-CN"/>
        </w:rPr>
        <w:t>4</w:t>
      </w:r>
      <w:r>
        <w:rPr>
          <w:rFonts w:hint="default" w:ascii="Times New Roman" w:hAnsi="Times New Roman" w:eastAsia="仿宋" w:cs="Times New Roman"/>
          <w:b/>
          <w:color w:val="auto"/>
          <w:szCs w:val="24"/>
        </w:rPr>
        <w:t>车间操作活动土壤污染预防设施与措施推荐性组合</w:t>
      </w:r>
    </w:p>
    <w:tbl>
      <w:tblPr>
        <w:tblStyle w:val="1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686"/>
        <w:gridCol w:w="45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blHeader/>
        </w:trPr>
        <w:tc>
          <w:tcPr>
            <w:tcW w:w="817" w:type="dxa"/>
            <w:tcBorders>
              <w:top w:val="single" w:color="auto" w:sz="8"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lang w:eastAsia="zh-CN"/>
              </w:rPr>
              <w:t>名称</w:t>
            </w:r>
          </w:p>
        </w:tc>
        <w:tc>
          <w:tcPr>
            <w:tcW w:w="3686" w:type="dxa"/>
            <w:tcBorders>
              <w:top w:val="single" w:color="auto" w:sz="8"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土壤污染预防设施/功能</w:t>
            </w:r>
          </w:p>
        </w:tc>
        <w:tc>
          <w:tcPr>
            <w:tcW w:w="4557" w:type="dxa"/>
            <w:tcBorders>
              <w:top w:val="single" w:color="auto" w:sz="8"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土壤污染预防措施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lang w:eastAsia="zh-CN"/>
              </w:rPr>
              <w:t>设备</w:t>
            </w:r>
          </w:p>
        </w:tc>
        <w:tc>
          <w:tcPr>
            <w:tcW w:w="3686" w:type="dxa"/>
            <w:tcBorders>
              <w:top w:val="single" w:color="auto" w:sz="4" w:space="0"/>
              <w:left w:val="single" w:color="auto" w:sz="4" w:space="0"/>
              <w:bottom w:val="single" w:color="auto" w:sz="4" w:space="0"/>
              <w:right w:val="single" w:color="auto" w:sz="4" w:space="0"/>
            </w:tcBorders>
            <w:noWrap w:val="0"/>
            <w:vAlign w:val="center"/>
          </w:tcPr>
          <w:p>
            <w:pPr>
              <w:pStyle w:val="21"/>
              <w:numPr>
                <w:ilvl w:val="0"/>
                <w:numId w:val="8"/>
              </w:numPr>
              <w:adjustRightInd w:val="0"/>
              <w:snapToGrid w:val="0"/>
              <w:spacing w:line="240" w:lineRule="auto"/>
              <w:ind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普通阻隔设施</w:t>
            </w:r>
          </w:p>
          <w:p>
            <w:pPr>
              <w:pStyle w:val="21"/>
              <w:numPr>
                <w:ilvl w:val="0"/>
                <w:numId w:val="8"/>
              </w:numPr>
              <w:adjustRightInd w:val="0"/>
              <w:snapToGrid w:val="0"/>
              <w:spacing w:line="240" w:lineRule="auto"/>
              <w:ind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渗漏、流失的液体</w:t>
            </w:r>
            <w:r>
              <w:rPr>
                <w:rFonts w:hint="default" w:ascii="Times New Roman" w:hAnsi="Times New Roman" w:eastAsia="仿宋" w:cs="Times New Roman"/>
                <w:color w:val="auto"/>
                <w:sz w:val="21"/>
                <w:szCs w:val="21"/>
                <w:lang w:eastAsia="zh-CN"/>
              </w:rPr>
              <w:t>及时</w:t>
            </w:r>
            <w:r>
              <w:rPr>
                <w:rFonts w:hint="default" w:ascii="Times New Roman" w:hAnsi="Times New Roman" w:eastAsia="仿宋" w:cs="Times New Roman"/>
                <w:color w:val="auto"/>
                <w:sz w:val="21"/>
                <w:szCs w:val="21"/>
              </w:rPr>
              <w:t>清理</w:t>
            </w:r>
          </w:p>
        </w:tc>
        <w:tc>
          <w:tcPr>
            <w:tcW w:w="4557" w:type="dxa"/>
            <w:tcBorders>
              <w:top w:val="single" w:color="auto" w:sz="4" w:space="0"/>
              <w:left w:val="single" w:color="auto" w:sz="4" w:space="0"/>
              <w:bottom w:val="single" w:color="auto" w:sz="4" w:space="0"/>
              <w:right w:val="single" w:color="auto" w:sz="8" w:space="0"/>
            </w:tcBorders>
            <w:noWrap w:val="0"/>
            <w:vAlign w:val="center"/>
          </w:tcPr>
          <w:p>
            <w:pPr>
              <w:pStyle w:val="21"/>
              <w:numPr>
                <w:ilvl w:val="0"/>
                <w:numId w:val="9"/>
              </w:numPr>
              <w:adjustRightInd w:val="0"/>
              <w:snapToGrid w:val="0"/>
              <w:spacing w:line="240" w:lineRule="auto"/>
              <w:ind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目视检查</w:t>
            </w:r>
          </w:p>
          <w:p>
            <w:pPr>
              <w:pStyle w:val="21"/>
              <w:numPr>
                <w:ilvl w:val="0"/>
                <w:numId w:val="9"/>
              </w:numPr>
              <w:adjustRightInd w:val="0"/>
              <w:snapToGrid w:val="0"/>
              <w:spacing w:line="240" w:lineRule="auto"/>
              <w:ind w:firstLineChars="0"/>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日常维护</w:t>
            </w:r>
          </w:p>
        </w:tc>
      </w:tr>
    </w:tbl>
    <w:p>
      <w:pPr>
        <w:adjustRightInd w:val="0"/>
        <w:snapToGrid w:val="0"/>
        <w:spacing w:before="192" w:beforeLines="80" w:line="346" w:lineRule="auto"/>
        <w:ind w:firstLine="600"/>
        <w:rPr>
          <w:rFonts w:hint="default" w:ascii="Times New Roman" w:hAnsi="Times New Roman" w:eastAsia="仿宋" w:cs="Times New Roman"/>
          <w:b/>
          <w:color w:val="auto"/>
          <w:sz w:val="30"/>
          <w:szCs w:val="30"/>
          <w:lang w:val="en-US" w:eastAsia="zh-CN"/>
        </w:rPr>
      </w:pPr>
    </w:p>
    <w:p>
      <w:pPr>
        <w:adjustRightInd w:val="0"/>
        <w:snapToGrid w:val="0"/>
        <w:spacing w:before="192" w:beforeLines="80" w:line="346" w:lineRule="auto"/>
        <w:ind w:firstLine="600"/>
        <w:rPr>
          <w:rFonts w:hint="default" w:ascii="Times New Roman" w:hAnsi="Times New Roman" w:eastAsia="仿宋" w:cs="Times New Roman"/>
          <w:b/>
          <w:color w:val="auto"/>
          <w:sz w:val="30"/>
          <w:szCs w:val="30"/>
        </w:rPr>
      </w:pPr>
      <w:r>
        <w:rPr>
          <w:rFonts w:hint="default" w:ascii="Times New Roman" w:hAnsi="Times New Roman" w:eastAsia="仿宋" w:cs="Times New Roman"/>
          <w:b/>
          <w:color w:val="auto"/>
          <w:sz w:val="30"/>
          <w:szCs w:val="30"/>
          <w:lang w:val="en-US" w:eastAsia="zh-CN"/>
        </w:rPr>
        <w:t>4、</w:t>
      </w:r>
      <w:r>
        <w:rPr>
          <w:rFonts w:hint="default" w:ascii="Times New Roman" w:hAnsi="Times New Roman" w:eastAsia="仿宋" w:cs="Times New Roman"/>
          <w:b/>
          <w:color w:val="auto"/>
          <w:sz w:val="30"/>
          <w:szCs w:val="30"/>
        </w:rPr>
        <w:t>分析化验室</w:t>
      </w:r>
    </w:p>
    <w:p>
      <w:pPr>
        <w:adjustRightInd w:val="0"/>
        <w:snapToGrid w:val="0"/>
        <w:spacing w:line="346" w:lineRule="auto"/>
        <w:ind w:firstLine="600"/>
        <w:rPr>
          <w:rFonts w:hint="default" w:ascii="Times New Roman" w:hAnsi="Times New Roman" w:eastAsia="仿宋" w:cs="Times New Roman"/>
          <w:bCs/>
          <w:color w:val="auto"/>
          <w:sz w:val="30"/>
          <w:szCs w:val="30"/>
        </w:rPr>
      </w:pPr>
      <w:r>
        <w:rPr>
          <w:rFonts w:hint="default" w:ascii="Times New Roman" w:hAnsi="Times New Roman" w:eastAsia="仿宋" w:cs="Times New Roman"/>
          <w:color w:val="auto"/>
          <w:sz w:val="30"/>
          <w:szCs w:val="30"/>
        </w:rPr>
        <w:t>分析化验室造成土壤污染主要是物质的泄漏、渗漏或者遗洒。</w:t>
      </w:r>
      <w:r>
        <w:rPr>
          <w:rFonts w:hint="default" w:ascii="Times New Roman" w:hAnsi="Times New Roman" w:eastAsia="仿宋" w:cs="Times New Roman"/>
          <w:bCs/>
          <w:color w:val="auto"/>
          <w:sz w:val="30"/>
          <w:szCs w:val="30"/>
          <w:lang w:eastAsia="zh-CN"/>
        </w:rPr>
        <w:t>厂区</w:t>
      </w:r>
      <w:r>
        <w:rPr>
          <w:rFonts w:hint="eastAsia" w:eastAsia="仿宋" w:cs="Times New Roman"/>
          <w:bCs/>
          <w:color w:val="auto"/>
          <w:sz w:val="30"/>
          <w:szCs w:val="30"/>
          <w:lang w:eastAsia="zh-CN"/>
        </w:rPr>
        <w:t>不设置实验室</w:t>
      </w:r>
      <w:r>
        <w:rPr>
          <w:rFonts w:hint="default" w:ascii="Times New Roman" w:hAnsi="Times New Roman" w:eastAsia="仿宋" w:cs="Times New Roman"/>
          <w:bCs/>
          <w:color w:val="auto"/>
          <w:sz w:val="30"/>
          <w:szCs w:val="30"/>
        </w:rPr>
        <w:t>。</w:t>
      </w:r>
    </w:p>
    <w:p>
      <w:pPr>
        <w:adjustRightInd w:val="0"/>
        <w:snapToGrid w:val="0"/>
        <w:spacing w:before="192" w:beforeLines="80" w:line="348" w:lineRule="auto"/>
        <w:ind w:firstLine="600"/>
        <w:rPr>
          <w:rFonts w:hint="default" w:ascii="Times New Roman" w:hAnsi="Times New Roman" w:eastAsia="仿宋" w:cs="Times New Roman"/>
          <w:b/>
          <w:color w:val="auto"/>
          <w:sz w:val="30"/>
          <w:szCs w:val="30"/>
        </w:rPr>
      </w:pPr>
      <w:r>
        <w:rPr>
          <w:rFonts w:hint="default" w:ascii="Times New Roman" w:hAnsi="Times New Roman" w:eastAsia="仿宋" w:cs="Times New Roman"/>
          <w:b/>
          <w:color w:val="auto"/>
          <w:sz w:val="30"/>
          <w:szCs w:val="30"/>
          <w:lang w:val="en-US" w:eastAsia="zh-CN"/>
        </w:rPr>
        <w:t>5、</w:t>
      </w:r>
      <w:r>
        <w:rPr>
          <w:rFonts w:hint="default" w:ascii="Times New Roman" w:hAnsi="Times New Roman" w:eastAsia="仿宋" w:cs="Times New Roman"/>
          <w:b/>
          <w:color w:val="auto"/>
          <w:sz w:val="30"/>
          <w:szCs w:val="30"/>
        </w:rPr>
        <w:t>一般工业固体废物贮存场和危险废物贮存库</w:t>
      </w:r>
    </w:p>
    <w:p>
      <w:pPr>
        <w:adjustRightInd w:val="0"/>
        <w:snapToGrid w:val="0"/>
        <w:spacing w:line="348" w:lineRule="auto"/>
        <w:ind w:firstLine="600"/>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rPr>
        <w:t>GB18599规定了一般工业固体废物贮存场的选址、建设、运行、封场等过程的环境保护要求，以及监测要求和实施与监督等内容。GB18597规定了对危险废物贮存的一般要求，对危险废物包装、贮存设施的选址、设计、运行、安全防护、监测和关闭等要求。</w:t>
      </w:r>
    </w:p>
    <w:p>
      <w:pPr>
        <w:adjustRightInd w:val="0"/>
        <w:snapToGrid w:val="0"/>
        <w:spacing w:line="348" w:lineRule="auto"/>
        <w:ind w:firstLine="600"/>
        <w:rPr>
          <w:rFonts w:hint="default" w:ascii="Times New Roman" w:hAnsi="Times New Roman" w:eastAsia="仿宋" w:cs="Times New Roman"/>
          <w:color w:val="auto"/>
          <w:sz w:val="30"/>
          <w:szCs w:val="30"/>
          <w:vertAlign w:val="baseline"/>
          <w:lang w:val="en-US" w:eastAsia="zh-CN"/>
        </w:rPr>
      </w:pPr>
      <w:r>
        <w:rPr>
          <w:rFonts w:hint="eastAsia" w:eastAsia="仿宋" w:cs="Times New Roman"/>
          <w:color w:val="auto"/>
          <w:sz w:val="30"/>
          <w:szCs w:val="30"/>
          <w:lang w:eastAsia="zh-CN"/>
        </w:rPr>
        <w:t>岳阳市云溪区云兴矿业有限公司</w:t>
      </w:r>
      <w:r>
        <w:rPr>
          <w:rFonts w:hint="default" w:ascii="Times New Roman" w:hAnsi="Times New Roman" w:eastAsia="仿宋" w:cs="Times New Roman"/>
          <w:color w:val="auto"/>
          <w:sz w:val="30"/>
          <w:szCs w:val="30"/>
          <w:lang w:eastAsia="zh-CN"/>
        </w:rPr>
        <w:t>设置专业的独立的危险废物暂存间。</w:t>
      </w:r>
      <w:r>
        <w:rPr>
          <w:rFonts w:hint="eastAsia" w:eastAsia="仿宋" w:cs="Times New Roman"/>
          <w:color w:val="auto"/>
          <w:sz w:val="30"/>
          <w:szCs w:val="30"/>
          <w:lang w:eastAsia="zh-CN"/>
        </w:rPr>
        <w:t>危险</w:t>
      </w:r>
      <w:r>
        <w:rPr>
          <w:rFonts w:hint="default" w:ascii="Times New Roman" w:hAnsi="Times New Roman" w:eastAsia="仿宋" w:cs="Times New Roman"/>
          <w:color w:val="auto"/>
          <w:sz w:val="30"/>
          <w:szCs w:val="30"/>
          <w:lang w:eastAsia="zh-CN"/>
        </w:rPr>
        <w:t>固体废物主要是</w:t>
      </w:r>
      <w:r>
        <w:rPr>
          <w:rFonts w:hint="eastAsia" w:eastAsia="仿宋" w:cs="Times New Roman"/>
          <w:color w:val="auto"/>
          <w:sz w:val="30"/>
          <w:szCs w:val="30"/>
          <w:lang w:eastAsia="zh-CN"/>
        </w:rPr>
        <w:t>残渣，公司</w:t>
      </w:r>
      <w:r>
        <w:rPr>
          <w:rFonts w:hint="default" w:ascii="Times New Roman" w:hAnsi="Times New Roman" w:eastAsia="仿宋" w:cs="Times New Roman"/>
          <w:color w:val="auto"/>
          <w:sz w:val="30"/>
          <w:szCs w:val="30"/>
          <w:lang w:eastAsia="zh-CN"/>
        </w:rPr>
        <w:t>设置独立的危废暂存间，且地面均进行防渗处理，并配套设置围堰和收集池，防止废液泄漏或外流。</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0"/>
        <w:gridCol w:w="4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19"/>
              <w:bidi w:val="0"/>
              <w:rPr>
                <w:rFonts w:hint="default" w:ascii="Times New Roman" w:hAnsi="Times New Roman" w:eastAsia="仿宋" w:cs="Times New Roman"/>
                <w:color w:val="auto"/>
                <w:lang w:val="en-US" w:eastAsia="zh-CN"/>
              </w:rPr>
            </w:pPr>
            <w:r>
              <w:drawing>
                <wp:inline distT="0" distB="0" distL="114300" distR="114300">
                  <wp:extent cx="2499360" cy="1869440"/>
                  <wp:effectExtent l="0" t="0" r="15240" b="165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2499360" cy="1869440"/>
                          </a:xfrm>
                          <a:prstGeom prst="rect">
                            <a:avLst/>
                          </a:prstGeom>
                          <a:noFill/>
                          <a:ln>
                            <a:noFill/>
                          </a:ln>
                        </pic:spPr>
                      </pic:pic>
                    </a:graphicData>
                  </a:graphic>
                </wp:inline>
              </w:drawing>
            </w:r>
          </w:p>
          <w:p>
            <w:pPr>
              <w:pStyle w:val="19"/>
              <w:bidi w:val="0"/>
              <w:rPr>
                <w:rFonts w:hint="default" w:ascii="Times New Roman" w:hAnsi="Times New Roman" w:eastAsia="仿宋" w:cs="Times New Roman"/>
                <w:color w:val="auto"/>
                <w:lang w:val="en-US" w:eastAsia="zh-CN"/>
              </w:rPr>
            </w:pPr>
            <w:r>
              <w:rPr>
                <w:rFonts w:hint="eastAsia" w:eastAsia="仿宋" w:cs="Times New Roman"/>
                <w:color w:val="auto"/>
                <w:lang w:val="en-US" w:eastAsia="zh-CN"/>
              </w:rPr>
              <w:t>危废暂存间</w:t>
            </w:r>
          </w:p>
        </w:tc>
        <w:tc>
          <w:tcPr>
            <w:tcW w:w="4261" w:type="dxa"/>
          </w:tcPr>
          <w:p>
            <w:pPr>
              <w:pStyle w:val="19"/>
              <w:bidi w:val="0"/>
              <w:rPr>
                <w:rFonts w:hint="default" w:ascii="Times New Roman" w:hAnsi="Times New Roman" w:eastAsia="仿宋" w:cs="Times New Roman"/>
                <w:color w:val="auto"/>
                <w:lang w:val="en-US" w:eastAsia="zh-CN"/>
              </w:rPr>
            </w:pPr>
            <w:r>
              <w:drawing>
                <wp:inline distT="0" distB="0" distL="114300" distR="114300">
                  <wp:extent cx="2805430" cy="2004060"/>
                  <wp:effectExtent l="0" t="0" r="13970" b="15240"/>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12"/>
                          <a:stretch>
                            <a:fillRect/>
                          </a:stretch>
                        </pic:blipFill>
                        <pic:spPr>
                          <a:xfrm>
                            <a:off x="0" y="0"/>
                            <a:ext cx="2805430" cy="2004060"/>
                          </a:xfrm>
                          <a:prstGeom prst="rect">
                            <a:avLst/>
                          </a:prstGeom>
                          <a:noFill/>
                          <a:ln>
                            <a:noFill/>
                          </a:ln>
                        </pic:spPr>
                      </pic:pic>
                    </a:graphicData>
                  </a:graphic>
                </wp:inline>
              </w:drawing>
            </w:r>
          </w:p>
          <w:p>
            <w:pPr>
              <w:pStyle w:val="19"/>
              <w:bidi w:val="0"/>
              <w:rPr>
                <w:rFonts w:hint="eastAsia" w:ascii="Times New Roman" w:hAnsi="Times New Roman" w:eastAsia="仿宋" w:cs="Times New Roman"/>
                <w:color w:val="auto"/>
                <w:lang w:eastAsia="zh-CN"/>
              </w:rPr>
            </w:pPr>
            <w:r>
              <w:rPr>
                <w:rFonts w:hint="eastAsia" w:eastAsia="仿宋" w:cs="Times New Roman"/>
                <w:color w:val="auto"/>
                <w:lang w:eastAsia="zh-CN"/>
              </w:rPr>
              <w:t>危废台账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pPr>
              <w:pStyle w:val="19"/>
              <w:bidi w:val="0"/>
              <w:jc w:val="both"/>
              <w:rPr>
                <w:rFonts w:hint="default" w:ascii="Times New Roman" w:hAnsi="Times New Roman" w:eastAsia="仿宋" w:cs="Times New Roman"/>
                <w:color w:val="auto"/>
                <w:lang w:val="en-US" w:eastAsia="zh-CN"/>
              </w:rPr>
            </w:pPr>
          </w:p>
        </w:tc>
      </w:tr>
    </w:tbl>
    <w:p>
      <w:pPr>
        <w:pStyle w:val="6"/>
        <w:bidi w:val="0"/>
        <w:outlineLvl w:val="0"/>
        <w:rPr>
          <w:rFonts w:hint="default" w:ascii="Times New Roman" w:hAnsi="Times New Roman" w:eastAsia="仿宋" w:cs="Times New Roman"/>
          <w:color w:val="auto"/>
          <w:szCs w:val="30"/>
        </w:rPr>
      </w:pPr>
      <w:bookmarkStart w:id="34" w:name="_Toc22047"/>
      <w:r>
        <w:rPr>
          <w:rFonts w:hint="default" w:ascii="Times New Roman" w:hAnsi="Times New Roman" w:eastAsia="仿宋" w:cs="Times New Roman"/>
          <w:color w:val="auto"/>
        </w:rPr>
        <w:t>4.2隐患排查台账</w:t>
      </w:r>
      <w:bookmarkEnd w:id="34"/>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此次土壤隐患排查了解到，</w:t>
      </w: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主要是</w:t>
      </w:r>
      <w:r>
        <w:rPr>
          <w:rFonts w:hint="eastAsia" w:eastAsia="仿宋" w:cs="Times New Roman"/>
          <w:color w:val="auto"/>
          <w:sz w:val="30"/>
          <w:szCs w:val="30"/>
          <w:lang w:val="en-US" w:eastAsia="zh-CN"/>
        </w:rPr>
        <w:t>3</w:t>
      </w:r>
      <w:r>
        <w:rPr>
          <w:rFonts w:hint="default" w:ascii="Times New Roman" w:hAnsi="Times New Roman" w:eastAsia="仿宋" w:cs="Times New Roman"/>
          <w:color w:val="auto"/>
          <w:sz w:val="30"/>
          <w:szCs w:val="30"/>
          <w:lang w:val="en-US" w:eastAsia="zh-CN"/>
        </w:rPr>
        <w:t>个地方存在隐患：</w:t>
      </w:r>
      <w:r>
        <w:rPr>
          <w:rFonts w:hint="eastAsia" w:eastAsia="仿宋" w:cs="Times New Roman"/>
          <w:color w:val="auto"/>
          <w:sz w:val="30"/>
          <w:szCs w:val="30"/>
          <w:lang w:val="en-US" w:eastAsia="zh-CN"/>
        </w:rPr>
        <w:t>储罐区</w:t>
      </w:r>
      <w:r>
        <w:rPr>
          <w:rFonts w:hint="default" w:ascii="Times New Roman" w:hAnsi="Times New Roman" w:eastAsia="仿宋" w:cs="Times New Roman"/>
          <w:color w:val="auto"/>
          <w:sz w:val="30"/>
          <w:szCs w:val="30"/>
          <w:lang w:val="en-US" w:eastAsia="zh-CN"/>
        </w:rPr>
        <w:t>、危废暂存间、</w:t>
      </w:r>
      <w:r>
        <w:rPr>
          <w:rFonts w:hint="eastAsia" w:eastAsia="仿宋" w:cs="Times New Roman"/>
          <w:color w:val="auto"/>
          <w:sz w:val="30"/>
          <w:szCs w:val="30"/>
          <w:lang w:val="en-US" w:eastAsia="zh-CN"/>
        </w:rPr>
        <w:t>应急池。</w:t>
      </w:r>
      <w:r>
        <w:rPr>
          <w:rFonts w:hint="default" w:ascii="Times New Roman" w:hAnsi="Times New Roman" w:eastAsia="仿宋" w:cs="Times New Roman"/>
          <w:color w:val="auto"/>
          <w:sz w:val="30"/>
          <w:szCs w:val="30"/>
          <w:lang w:val="en-US" w:eastAsia="zh-CN"/>
        </w:rPr>
        <w:t>具体见下表所示。</w:t>
      </w:r>
    </w:p>
    <w:p>
      <w:pPr>
        <w:bidi w:val="0"/>
        <w:rPr>
          <w:rFonts w:hint="default" w:ascii="Times New Roman" w:hAnsi="Times New Roman" w:eastAsia="仿宋" w:cs="Times New Roman"/>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adjustRightInd w:val="0"/>
        <w:snapToGrid w:val="0"/>
        <w:spacing w:after="120" w:afterLines="50" w:line="240" w:lineRule="auto"/>
        <w:ind w:firstLine="0" w:firstLineChars="0"/>
        <w:jc w:val="center"/>
        <w:rPr>
          <w:rFonts w:hint="default" w:ascii="Times New Roman" w:hAnsi="Times New Roman" w:eastAsia="仿宋" w:cs="Times New Roman"/>
          <w:b/>
          <w:color w:val="auto"/>
          <w:szCs w:val="24"/>
        </w:rPr>
      </w:pPr>
      <w:r>
        <w:rPr>
          <w:rFonts w:hint="default" w:ascii="Times New Roman" w:hAnsi="Times New Roman" w:eastAsia="仿宋" w:cs="Times New Roman"/>
          <w:b/>
          <w:color w:val="auto"/>
          <w:szCs w:val="24"/>
        </w:rPr>
        <w:t>表</w:t>
      </w:r>
      <w:r>
        <w:rPr>
          <w:rFonts w:hint="default" w:ascii="Times New Roman" w:hAnsi="Times New Roman" w:eastAsia="仿宋" w:cs="Times New Roman"/>
          <w:b/>
          <w:color w:val="auto"/>
          <w:szCs w:val="24"/>
          <w:lang w:val="en-US" w:eastAsia="zh-CN"/>
        </w:rPr>
        <w:t xml:space="preserve">4-11 </w:t>
      </w:r>
      <w:r>
        <w:rPr>
          <w:rFonts w:hint="eastAsia" w:eastAsia="仿宋" w:cs="Times New Roman"/>
          <w:b/>
          <w:color w:val="auto"/>
          <w:szCs w:val="24"/>
          <w:lang w:val="en-US" w:eastAsia="zh-CN"/>
        </w:rPr>
        <w:t>岳阳市云溪区云兴矿业有限公司</w:t>
      </w:r>
      <w:r>
        <w:rPr>
          <w:rFonts w:hint="default" w:ascii="Times New Roman" w:hAnsi="Times New Roman" w:eastAsia="仿宋" w:cs="Times New Roman"/>
          <w:b/>
          <w:color w:val="auto"/>
          <w:szCs w:val="24"/>
        </w:rPr>
        <w:t>土壤污染隐患排查台账</w:t>
      </w:r>
    </w:p>
    <w:tbl>
      <w:tblPr>
        <w:tblStyle w:val="13"/>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39"/>
        <w:gridCol w:w="1321"/>
        <w:gridCol w:w="2223"/>
        <w:gridCol w:w="3847"/>
        <w:gridCol w:w="1929"/>
        <w:gridCol w:w="2026"/>
        <w:gridCol w:w="156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926" w:type="pct"/>
            <w:gridSpan w:val="3"/>
            <w:tcBorders>
              <w:top w:val="single" w:color="auto" w:sz="8"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pacing w:val="40"/>
                <w:sz w:val="21"/>
                <w:szCs w:val="21"/>
              </w:rPr>
            </w:pPr>
            <w:r>
              <w:rPr>
                <w:rFonts w:hint="default" w:ascii="Times New Roman" w:hAnsi="Times New Roman" w:eastAsia="仿宋" w:cs="Times New Roman"/>
                <w:color w:val="auto"/>
                <w:spacing w:val="40"/>
                <w:sz w:val="21"/>
                <w:szCs w:val="21"/>
              </w:rPr>
              <w:t>企业名称</w:t>
            </w:r>
          </w:p>
        </w:tc>
        <w:tc>
          <w:tcPr>
            <w:tcW w:w="2106" w:type="pct"/>
            <w:gridSpan w:val="2"/>
            <w:tcBorders>
              <w:top w:val="single" w:color="auto" w:sz="8"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pacing w:val="40"/>
                <w:sz w:val="21"/>
                <w:szCs w:val="21"/>
                <w:lang w:eastAsia="zh-CN"/>
              </w:rPr>
            </w:pPr>
            <w:r>
              <w:rPr>
                <w:rFonts w:hint="eastAsia" w:eastAsia="仿宋" w:cs="Times New Roman"/>
                <w:color w:val="auto"/>
                <w:spacing w:val="40"/>
                <w:sz w:val="21"/>
                <w:szCs w:val="21"/>
                <w:lang w:eastAsia="zh-CN"/>
              </w:rPr>
              <w:t>岳阳市云溪区云兴矿业有限公司</w:t>
            </w:r>
          </w:p>
        </w:tc>
        <w:tc>
          <w:tcPr>
            <w:tcW w:w="1408" w:type="pct"/>
            <w:gridSpan w:val="2"/>
            <w:tcBorders>
              <w:top w:val="single" w:color="auto" w:sz="8"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pacing w:val="40"/>
                <w:sz w:val="21"/>
                <w:szCs w:val="21"/>
              </w:rPr>
            </w:pPr>
            <w:r>
              <w:rPr>
                <w:rFonts w:hint="default" w:ascii="Times New Roman" w:hAnsi="Times New Roman" w:eastAsia="仿宋" w:cs="Times New Roman"/>
                <w:color w:val="auto"/>
                <w:spacing w:val="40"/>
                <w:sz w:val="21"/>
                <w:szCs w:val="21"/>
              </w:rPr>
              <w:t>所属行业</w:t>
            </w:r>
          </w:p>
        </w:tc>
        <w:tc>
          <w:tcPr>
            <w:tcW w:w="558" w:type="pct"/>
            <w:tcBorders>
              <w:top w:val="single" w:color="auto" w:sz="8"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eastAsia" w:eastAsia="仿宋" w:cs="Times New Roman"/>
                <w:color w:val="auto"/>
                <w:sz w:val="21"/>
                <w:szCs w:val="21"/>
                <w:lang w:val="en-US" w:eastAsia="zh-CN"/>
              </w:rPr>
              <w:t>N772危险废物治理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926" w:type="pct"/>
            <w:gridSpan w:val="3"/>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42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现场排查负责人（签字）</w:t>
            </w:r>
          </w:p>
        </w:tc>
        <w:tc>
          <w:tcPr>
            <w:tcW w:w="2106"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420"/>
              <w:jc w:val="center"/>
              <w:rPr>
                <w:rFonts w:hint="eastAsia"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王景和</w:t>
            </w:r>
          </w:p>
        </w:tc>
        <w:tc>
          <w:tcPr>
            <w:tcW w:w="1408"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排查时间</w:t>
            </w:r>
          </w:p>
        </w:tc>
        <w:tc>
          <w:tcPr>
            <w:tcW w:w="558" w:type="pct"/>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2021.</w:t>
            </w:r>
            <w:r>
              <w:rPr>
                <w:rFonts w:hint="eastAsia" w:eastAsia="仿宋" w:cs="Times New Roman"/>
                <w:color w:val="auto"/>
                <w:sz w:val="21"/>
                <w:szCs w:val="21"/>
                <w:lang w:val="en-US" w:eastAsia="zh-CN"/>
              </w:rPr>
              <w:t>9</w:t>
            </w:r>
            <w:r>
              <w:rPr>
                <w:rFonts w:hint="default" w:ascii="Times New Roman" w:hAnsi="Times New Roman" w:eastAsia="仿宋" w:cs="Times New Roman"/>
                <w:color w:val="auto"/>
                <w:sz w:val="21"/>
                <w:szCs w:val="21"/>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50" w:type="pct"/>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序号</w:t>
            </w:r>
          </w:p>
        </w:tc>
        <w:tc>
          <w:tcPr>
            <w:tcW w:w="3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涉及工业活动</w:t>
            </w:r>
          </w:p>
        </w:tc>
        <w:tc>
          <w:tcPr>
            <w:tcW w:w="4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重点场所或者重点设施设备</w:t>
            </w:r>
          </w:p>
        </w:tc>
        <w:tc>
          <w:tcPr>
            <w:tcW w:w="7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位置信息（如经纬度坐标，或者位置描述等）</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现场图片</w:t>
            </w:r>
          </w:p>
        </w:tc>
        <w:tc>
          <w:tcPr>
            <w:tcW w:w="6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隐患点</w:t>
            </w:r>
          </w:p>
        </w:tc>
        <w:tc>
          <w:tcPr>
            <w:tcW w:w="72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整改建议</w:t>
            </w:r>
          </w:p>
        </w:tc>
        <w:tc>
          <w:tcPr>
            <w:tcW w:w="558" w:type="pct"/>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 w:type="pct"/>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1</w:t>
            </w:r>
          </w:p>
        </w:tc>
        <w:tc>
          <w:tcPr>
            <w:tcW w:w="3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储罐区</w:t>
            </w:r>
          </w:p>
        </w:tc>
        <w:tc>
          <w:tcPr>
            <w:tcW w:w="4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both"/>
              <w:rPr>
                <w:rFonts w:hint="default" w:ascii="Times New Roman" w:hAnsi="Times New Roman" w:eastAsia="仿宋" w:cs="Times New Roman"/>
                <w:color w:val="auto"/>
                <w:sz w:val="21"/>
                <w:szCs w:val="21"/>
                <w:lang w:val="en-US" w:eastAsia="zh-CN"/>
              </w:rPr>
            </w:pPr>
            <w:r>
              <w:rPr>
                <w:rFonts w:hint="eastAsia" w:eastAsia="仿宋" w:cs="Times New Roman"/>
                <w:color w:val="auto"/>
                <w:sz w:val="21"/>
                <w:szCs w:val="21"/>
                <w:lang w:val="en-US" w:eastAsia="zh-CN"/>
              </w:rPr>
              <w:t>储罐围堰</w:t>
            </w:r>
          </w:p>
        </w:tc>
        <w:tc>
          <w:tcPr>
            <w:tcW w:w="7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113.506716,29.359849</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lang w:eastAsia="zh-CN"/>
              </w:rPr>
            </w:pPr>
            <w:r>
              <w:drawing>
                <wp:inline distT="0" distB="0" distL="114300" distR="114300">
                  <wp:extent cx="2219960" cy="1627505"/>
                  <wp:effectExtent l="0" t="0" r="8890" b="10795"/>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13"/>
                          <a:stretch>
                            <a:fillRect/>
                          </a:stretch>
                        </pic:blipFill>
                        <pic:spPr>
                          <a:xfrm>
                            <a:off x="0" y="0"/>
                            <a:ext cx="2219960" cy="1627505"/>
                          </a:xfrm>
                          <a:prstGeom prst="rect">
                            <a:avLst/>
                          </a:prstGeom>
                          <a:noFill/>
                          <a:ln>
                            <a:noFill/>
                          </a:ln>
                        </pic:spPr>
                      </pic:pic>
                    </a:graphicData>
                  </a:graphic>
                </wp:inline>
              </w:drawing>
            </w:r>
          </w:p>
        </w:tc>
        <w:tc>
          <w:tcPr>
            <w:tcW w:w="6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部分围堰柏笋</w:t>
            </w:r>
          </w:p>
        </w:tc>
        <w:tc>
          <w:tcPr>
            <w:tcW w:w="72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完善修复围堰</w:t>
            </w:r>
          </w:p>
        </w:tc>
        <w:tc>
          <w:tcPr>
            <w:tcW w:w="558" w:type="pct"/>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eastAsia"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定期清理积水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 w:type="pct"/>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lang w:val="en-US" w:eastAsia="zh-CN"/>
              </w:rPr>
              <w:t>2</w:t>
            </w:r>
          </w:p>
        </w:tc>
        <w:tc>
          <w:tcPr>
            <w:tcW w:w="3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危废间</w:t>
            </w:r>
          </w:p>
        </w:tc>
        <w:tc>
          <w:tcPr>
            <w:tcW w:w="4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eastAsia" w:eastAsia="仿宋" w:cs="Times New Roman"/>
                <w:color w:val="auto"/>
                <w:sz w:val="21"/>
                <w:szCs w:val="21"/>
                <w:lang w:val="en-US" w:eastAsia="zh-CN"/>
              </w:rPr>
              <w:t>危废储存间</w:t>
            </w:r>
          </w:p>
        </w:tc>
        <w:tc>
          <w:tcPr>
            <w:tcW w:w="7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113.503655，29.354330</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drawing>
                <wp:inline distT="0" distB="0" distL="114300" distR="114300">
                  <wp:extent cx="2296160" cy="1692275"/>
                  <wp:effectExtent l="0" t="0" r="8890" b="3175"/>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14"/>
                          <a:stretch>
                            <a:fillRect/>
                          </a:stretch>
                        </pic:blipFill>
                        <pic:spPr>
                          <a:xfrm>
                            <a:off x="0" y="0"/>
                            <a:ext cx="2296160" cy="1692275"/>
                          </a:xfrm>
                          <a:prstGeom prst="rect">
                            <a:avLst/>
                          </a:prstGeom>
                          <a:noFill/>
                          <a:ln>
                            <a:noFill/>
                          </a:ln>
                        </pic:spPr>
                      </pic:pic>
                    </a:graphicData>
                  </a:graphic>
                </wp:inline>
              </w:drawing>
            </w:r>
          </w:p>
        </w:tc>
        <w:tc>
          <w:tcPr>
            <w:tcW w:w="6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没有通风设施</w:t>
            </w:r>
          </w:p>
        </w:tc>
        <w:tc>
          <w:tcPr>
            <w:tcW w:w="72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增加通风设施</w:t>
            </w:r>
          </w:p>
        </w:tc>
        <w:tc>
          <w:tcPr>
            <w:tcW w:w="558" w:type="pct"/>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 w:type="pct"/>
            <w:tcBorders>
              <w:top w:val="single" w:color="auto" w:sz="4" w:space="0"/>
              <w:left w:val="single" w:color="auto" w:sz="8"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lang w:val="en-US" w:eastAsia="zh-CN"/>
              </w:rPr>
              <w:t>3</w:t>
            </w:r>
          </w:p>
        </w:tc>
        <w:tc>
          <w:tcPr>
            <w:tcW w:w="303" w:type="pct"/>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应急池</w:t>
            </w:r>
          </w:p>
        </w:tc>
        <w:tc>
          <w:tcPr>
            <w:tcW w:w="4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应急池</w:t>
            </w:r>
          </w:p>
        </w:tc>
        <w:tc>
          <w:tcPr>
            <w:tcW w:w="7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113.507163，29.359520</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eastAsia" w:eastAsia="仿宋" w:cs="Times New Roman"/>
                <w:color w:val="auto"/>
                <w:sz w:val="21"/>
                <w:szCs w:val="21"/>
                <w:lang w:val="en-US" w:eastAsia="zh-CN"/>
              </w:rPr>
              <w:t>/</w:t>
            </w:r>
          </w:p>
        </w:tc>
        <w:tc>
          <w:tcPr>
            <w:tcW w:w="6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没有定期巡查，未建立巡查记录</w:t>
            </w:r>
          </w:p>
        </w:tc>
        <w:tc>
          <w:tcPr>
            <w:tcW w:w="72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定期巡查</w:t>
            </w:r>
          </w:p>
        </w:tc>
        <w:tc>
          <w:tcPr>
            <w:tcW w:w="558" w:type="pct"/>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 w:type="pct"/>
            <w:tcBorders>
              <w:top w:val="single" w:color="auto" w:sz="4" w:space="0"/>
              <w:left w:val="single" w:color="auto" w:sz="8"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kern w:val="2"/>
                <w:sz w:val="21"/>
                <w:szCs w:val="21"/>
                <w:lang w:val="en-US" w:eastAsia="zh-CN" w:bidi="ar-SA"/>
              </w:rPr>
            </w:pPr>
            <w:r>
              <w:rPr>
                <w:rFonts w:hint="default" w:ascii="Times New Roman" w:hAnsi="Times New Roman" w:eastAsia="仿宋" w:cs="Times New Roman"/>
                <w:color w:val="auto"/>
                <w:sz w:val="21"/>
                <w:szCs w:val="21"/>
                <w:lang w:val="en-US" w:eastAsia="zh-CN"/>
              </w:rPr>
              <w:t>4</w:t>
            </w:r>
          </w:p>
        </w:tc>
        <w:tc>
          <w:tcPr>
            <w:tcW w:w="3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kern w:val="2"/>
                <w:sz w:val="21"/>
                <w:szCs w:val="21"/>
                <w:lang w:val="en-US" w:eastAsia="zh-CN" w:bidi="ar-SA"/>
              </w:rPr>
            </w:pPr>
            <w:r>
              <w:rPr>
                <w:rFonts w:hint="eastAsia" w:eastAsia="仿宋" w:cs="Times New Roman"/>
                <w:color w:val="auto"/>
                <w:sz w:val="21"/>
                <w:szCs w:val="21"/>
                <w:lang w:eastAsia="zh-CN"/>
              </w:rPr>
              <w:t>厂区</w:t>
            </w:r>
          </w:p>
        </w:tc>
        <w:tc>
          <w:tcPr>
            <w:tcW w:w="47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kern w:val="2"/>
                <w:sz w:val="21"/>
                <w:szCs w:val="21"/>
                <w:lang w:val="en-US" w:eastAsia="zh-CN" w:bidi="ar-SA"/>
              </w:rPr>
            </w:pPr>
            <w:r>
              <w:rPr>
                <w:rFonts w:hint="eastAsia" w:eastAsia="仿宋" w:cs="Times New Roman"/>
                <w:color w:val="auto"/>
                <w:sz w:val="21"/>
                <w:szCs w:val="21"/>
                <w:lang w:val="en-US" w:eastAsia="zh-CN"/>
              </w:rPr>
              <w:t>储罐区、锅炉房、危废间</w:t>
            </w:r>
          </w:p>
        </w:tc>
        <w:tc>
          <w:tcPr>
            <w:tcW w:w="7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113.506866,29.358931</w:t>
            </w:r>
          </w:p>
        </w:tc>
        <w:tc>
          <w:tcPr>
            <w:tcW w:w="131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lang w:val="en-US" w:eastAsia="zh-CN"/>
              </w:rPr>
            </w:pPr>
            <w:r>
              <w:rPr>
                <w:rFonts w:hint="eastAsia" w:eastAsia="仿宋" w:cs="Times New Roman"/>
                <w:color w:val="auto"/>
                <w:lang w:val="en-US" w:eastAsia="zh-CN"/>
              </w:rPr>
              <w:t>/</w:t>
            </w:r>
          </w:p>
        </w:tc>
        <w:tc>
          <w:tcPr>
            <w:tcW w:w="6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没有定期巡查，未建立巡查记录</w:t>
            </w:r>
          </w:p>
        </w:tc>
        <w:tc>
          <w:tcPr>
            <w:tcW w:w="72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r>
              <w:rPr>
                <w:rFonts w:hint="eastAsia" w:eastAsia="仿宋" w:cs="Times New Roman"/>
                <w:color w:val="auto"/>
                <w:sz w:val="21"/>
                <w:szCs w:val="21"/>
                <w:lang w:eastAsia="zh-CN"/>
              </w:rPr>
              <w:t>定期巡查</w:t>
            </w:r>
          </w:p>
        </w:tc>
        <w:tc>
          <w:tcPr>
            <w:tcW w:w="558" w:type="pct"/>
            <w:tcBorders>
              <w:top w:val="single" w:color="auto" w:sz="4" w:space="0"/>
              <w:left w:val="single" w:color="auto" w:sz="4" w:space="0"/>
              <w:bottom w:val="single" w:color="auto" w:sz="4" w:space="0"/>
              <w:right w:val="single" w:color="auto" w:sz="8" w:space="0"/>
            </w:tcBorders>
            <w:noWrap w:val="0"/>
            <w:vAlign w:val="center"/>
          </w:tcPr>
          <w:p>
            <w:pPr>
              <w:adjustRightInd w:val="0"/>
              <w:snapToGrid w:val="0"/>
              <w:spacing w:line="240" w:lineRule="auto"/>
              <w:ind w:firstLine="0" w:firstLineChars="0"/>
              <w:jc w:val="center"/>
              <w:rPr>
                <w:rFonts w:hint="default" w:ascii="Times New Roman" w:hAnsi="Times New Roman" w:eastAsia="仿宋" w:cs="Times New Roman"/>
                <w:color w:val="auto"/>
                <w:sz w:val="21"/>
                <w:szCs w:val="21"/>
                <w:lang w:eastAsia="zh-CN"/>
              </w:rPr>
            </w:pPr>
          </w:p>
        </w:tc>
      </w:tr>
    </w:tbl>
    <w:p>
      <w:pPr>
        <w:adjustRightInd w:val="0"/>
        <w:snapToGrid w:val="0"/>
        <w:spacing w:line="348" w:lineRule="auto"/>
        <w:ind w:firstLine="600"/>
        <w:rPr>
          <w:rFonts w:hint="default" w:ascii="Times New Roman" w:hAnsi="Times New Roman" w:eastAsia="仿宋" w:cs="Times New Roman"/>
          <w:color w:val="auto"/>
          <w:sz w:val="30"/>
          <w:szCs w:val="30"/>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numPr>
          <w:ilvl w:val="0"/>
          <w:numId w:val="0"/>
        </w:numPr>
        <w:bidi w:val="0"/>
        <w:jc w:val="center"/>
        <w:rPr>
          <w:rFonts w:hint="default" w:ascii="Times New Roman" w:hAnsi="Times New Roman" w:eastAsia="仿宋" w:cs="Times New Roman"/>
          <w:color w:val="auto"/>
          <w:lang w:val="en-US" w:eastAsia="zh-CN"/>
        </w:rPr>
      </w:pPr>
      <w:bookmarkStart w:id="35" w:name="_Toc2762"/>
      <w:r>
        <w:rPr>
          <w:rFonts w:hint="default" w:ascii="Times New Roman" w:hAnsi="Times New Roman" w:eastAsia="仿宋" w:cs="Times New Roman"/>
          <w:color w:val="auto"/>
        </w:rPr>
        <w:t>5结论和建议</w:t>
      </w:r>
      <w:bookmarkEnd w:id="35"/>
      <w:r>
        <w:rPr>
          <w:rFonts w:hint="default" w:ascii="Times New Roman" w:hAnsi="Times New Roman" w:eastAsia="仿宋" w:cs="Times New Roman"/>
          <w:color w:val="auto"/>
          <w:lang w:val="en-US" w:eastAsia="zh-CN"/>
        </w:rPr>
        <w:tab/>
      </w:r>
    </w:p>
    <w:p>
      <w:pPr>
        <w:pStyle w:val="6"/>
        <w:bidi w:val="0"/>
        <w:outlineLvl w:val="0"/>
        <w:rPr>
          <w:rFonts w:hint="default" w:ascii="Times New Roman" w:hAnsi="Times New Roman" w:eastAsia="仿宋" w:cs="Times New Roman"/>
          <w:color w:val="auto"/>
        </w:rPr>
      </w:pPr>
      <w:bookmarkStart w:id="36" w:name="_Toc18384"/>
      <w:r>
        <w:rPr>
          <w:rFonts w:hint="default" w:ascii="Times New Roman" w:hAnsi="Times New Roman" w:eastAsia="仿宋" w:cs="Times New Roman"/>
          <w:color w:val="auto"/>
        </w:rPr>
        <w:t>5.1隐患排查结论</w:t>
      </w:r>
      <w:bookmarkEnd w:id="36"/>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根据企业提供的资料以及技术人员现场踏勘排查了解，确定此次</w:t>
      </w:r>
      <w:r>
        <w:rPr>
          <w:rFonts w:hint="eastAsia" w:eastAsia="仿宋" w:cs="Times New Roman"/>
          <w:color w:val="auto"/>
          <w:sz w:val="30"/>
          <w:szCs w:val="30"/>
          <w:lang w:val="en-US" w:eastAsia="zh-CN"/>
        </w:rPr>
        <w:t>岳阳市云溪区云兴矿业有限公司</w:t>
      </w:r>
      <w:r>
        <w:rPr>
          <w:rFonts w:hint="default" w:ascii="Times New Roman" w:hAnsi="Times New Roman" w:eastAsia="仿宋" w:cs="Times New Roman"/>
          <w:color w:val="auto"/>
          <w:sz w:val="30"/>
          <w:szCs w:val="30"/>
          <w:lang w:val="en-US" w:eastAsia="zh-CN"/>
        </w:rPr>
        <w:t>土壤和地下水污染防治措施整体上到位，其管理制度亦相对完善。但是，厂区仍然存在一些需要完善的地方。</w:t>
      </w:r>
    </w:p>
    <w:p>
      <w:pPr>
        <w:pStyle w:val="6"/>
        <w:bidi w:val="0"/>
        <w:outlineLvl w:val="0"/>
        <w:rPr>
          <w:rFonts w:hint="default" w:ascii="Times New Roman" w:hAnsi="Times New Roman" w:eastAsia="仿宋" w:cs="Times New Roman"/>
          <w:color w:val="auto"/>
        </w:rPr>
      </w:pPr>
      <w:bookmarkStart w:id="37" w:name="_Toc10076"/>
      <w:r>
        <w:rPr>
          <w:rFonts w:hint="default" w:ascii="Times New Roman" w:hAnsi="Times New Roman" w:eastAsia="仿宋" w:cs="Times New Roman"/>
          <w:color w:val="auto"/>
        </w:rPr>
        <w:t>5.2隐患整改方案或建议</w:t>
      </w:r>
      <w:bookmarkEnd w:id="37"/>
    </w:p>
    <w:p>
      <w:p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此次土壤隐患整改主要涉及5个方面。</w:t>
      </w:r>
    </w:p>
    <w:p>
      <w:pPr>
        <w:numPr>
          <w:ilvl w:val="0"/>
          <w:numId w:val="10"/>
        </w:numPr>
        <w:bidi w:val="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管理制度进一步完善。企业需建立土壤隐患排查记录台账，针对不同功能区设置不同频次的目视检查点位，针对</w:t>
      </w:r>
      <w:r>
        <w:rPr>
          <w:rFonts w:hint="eastAsia" w:eastAsia="仿宋" w:cs="Times New Roman"/>
          <w:color w:val="auto"/>
          <w:sz w:val="30"/>
          <w:szCs w:val="30"/>
          <w:lang w:val="en-US" w:eastAsia="zh-CN"/>
        </w:rPr>
        <w:t>储罐区</w:t>
      </w:r>
      <w:r>
        <w:rPr>
          <w:rFonts w:hint="default" w:ascii="Times New Roman" w:hAnsi="Times New Roman" w:eastAsia="仿宋" w:cs="Times New Roman"/>
          <w:color w:val="auto"/>
          <w:sz w:val="30"/>
          <w:szCs w:val="30"/>
          <w:lang w:val="en-US" w:eastAsia="zh-CN"/>
        </w:rPr>
        <w:t>和</w:t>
      </w:r>
      <w:r>
        <w:rPr>
          <w:rFonts w:hint="eastAsia" w:eastAsia="仿宋" w:cs="Times New Roman"/>
          <w:color w:val="auto"/>
          <w:sz w:val="30"/>
          <w:szCs w:val="30"/>
          <w:lang w:val="en-US" w:eastAsia="zh-CN"/>
        </w:rPr>
        <w:t>应急池等</w:t>
      </w:r>
      <w:r>
        <w:rPr>
          <w:rFonts w:hint="default" w:ascii="Times New Roman" w:hAnsi="Times New Roman" w:eastAsia="仿宋" w:cs="Times New Roman"/>
          <w:color w:val="auto"/>
          <w:sz w:val="30"/>
          <w:szCs w:val="30"/>
          <w:lang w:val="en-US" w:eastAsia="zh-CN"/>
        </w:rPr>
        <w:t>进行加密加频布点巡查；为进一步降低土壤污染风险，建议企业负责日常监管的人员熟悉各种生产设施的运转和维护。</w:t>
      </w:r>
    </w:p>
    <w:p>
      <w:pPr>
        <w:numPr>
          <w:ilvl w:val="0"/>
          <w:numId w:val="0"/>
        </w:numPr>
        <w:bidi w:val="0"/>
        <w:ind w:firstLine="640" w:firstLineChars="20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sz w:val="32"/>
          <w:szCs w:val="32"/>
          <w:lang w:val="en-US" w:eastAsia="zh-CN"/>
        </w:rPr>
        <w:t>2.</w:t>
      </w:r>
      <w:r>
        <w:rPr>
          <w:rFonts w:hint="eastAsia" w:eastAsia="仿宋" w:cs="Times New Roman"/>
          <w:color w:val="auto"/>
          <w:sz w:val="32"/>
          <w:szCs w:val="32"/>
          <w:lang w:val="en-US" w:eastAsia="zh-CN"/>
        </w:rPr>
        <w:t>完善围堰的密封性，并定期清理</w:t>
      </w:r>
      <w:r>
        <w:rPr>
          <w:rFonts w:hint="default" w:ascii="Times New Roman" w:hAnsi="Times New Roman" w:eastAsia="仿宋" w:cs="Times New Roman"/>
          <w:color w:val="auto"/>
          <w:sz w:val="30"/>
          <w:szCs w:val="30"/>
          <w:lang w:val="en-US" w:eastAsia="zh-CN"/>
        </w:rPr>
        <w:t xml:space="preserve">。 </w:t>
      </w:r>
    </w:p>
    <w:p>
      <w:pPr>
        <w:numPr>
          <w:ilvl w:val="0"/>
          <w:numId w:val="0"/>
        </w:numPr>
        <w:bidi w:val="0"/>
        <w:ind w:firstLine="6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3.</w:t>
      </w:r>
      <w:r>
        <w:rPr>
          <w:rFonts w:hint="eastAsia" w:eastAsia="仿宋" w:cs="Times New Roman"/>
          <w:color w:val="auto"/>
          <w:sz w:val="30"/>
          <w:szCs w:val="30"/>
          <w:lang w:val="en-US" w:eastAsia="zh-CN"/>
        </w:rPr>
        <w:t>完成危废间的排放系统</w:t>
      </w:r>
      <w:r>
        <w:rPr>
          <w:rFonts w:hint="default" w:ascii="Times New Roman" w:hAnsi="Times New Roman" w:eastAsia="仿宋" w:cs="Times New Roman"/>
          <w:color w:val="auto"/>
          <w:sz w:val="30"/>
          <w:szCs w:val="30"/>
          <w:lang w:val="en-US" w:eastAsia="zh-CN"/>
        </w:rPr>
        <w:t>。</w:t>
      </w:r>
    </w:p>
    <w:p>
      <w:pPr>
        <w:numPr>
          <w:ilvl w:val="0"/>
          <w:numId w:val="0"/>
        </w:numPr>
        <w:bidi w:val="0"/>
        <w:ind w:firstLine="600"/>
        <w:rPr>
          <w:rFonts w:hint="default" w:ascii="Times New Roman" w:hAnsi="Times New Roman" w:eastAsia="仿宋" w:cs="Times New Roman"/>
          <w:color w:val="auto"/>
          <w:sz w:val="30"/>
          <w:szCs w:val="30"/>
          <w:lang w:val="en-US" w:eastAsia="zh-CN"/>
        </w:rPr>
      </w:pPr>
      <w:r>
        <w:rPr>
          <w:rFonts w:hint="default" w:ascii="Times New Roman" w:hAnsi="Times New Roman" w:eastAsia="仿宋" w:cs="Times New Roman"/>
          <w:color w:val="auto"/>
          <w:sz w:val="30"/>
          <w:szCs w:val="30"/>
          <w:lang w:val="en-US" w:eastAsia="zh-CN"/>
        </w:rPr>
        <w:t>4.</w:t>
      </w:r>
      <w:r>
        <w:rPr>
          <w:rFonts w:hint="eastAsia" w:eastAsia="仿宋" w:cs="Times New Roman"/>
          <w:color w:val="auto"/>
          <w:sz w:val="30"/>
          <w:szCs w:val="30"/>
          <w:lang w:val="en-US" w:eastAsia="zh-CN"/>
        </w:rPr>
        <w:t>厂区建立日常巡检记录，并做好记录。发现隐患必须第一时间处理</w:t>
      </w:r>
    </w:p>
    <w:p>
      <w:pPr>
        <w:numPr>
          <w:ilvl w:val="0"/>
          <w:numId w:val="0"/>
        </w:numPr>
        <w:bidi w:val="0"/>
        <w:ind w:firstLine="600"/>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sz w:val="30"/>
          <w:szCs w:val="30"/>
          <w:lang w:val="en-US" w:eastAsia="zh-CN"/>
        </w:rPr>
        <w:t>5.</w:t>
      </w:r>
      <w:r>
        <w:rPr>
          <w:rFonts w:hint="eastAsia" w:eastAsia="仿宋" w:cs="Times New Roman"/>
          <w:color w:val="auto"/>
          <w:sz w:val="30"/>
          <w:szCs w:val="30"/>
          <w:lang w:val="en-US" w:eastAsia="zh-CN"/>
        </w:rPr>
        <w:t>定期进行土壤地下水监测</w:t>
      </w:r>
      <w:r>
        <w:rPr>
          <w:rFonts w:hint="default" w:ascii="Times New Roman" w:hAnsi="Times New Roman" w:eastAsia="仿宋" w:cs="Times New Roman"/>
          <w:color w:val="auto"/>
          <w:sz w:val="30"/>
          <w:szCs w:val="30"/>
          <w:lang w:val="en-US" w:eastAsia="zh-CN"/>
        </w:rPr>
        <w:t xml:space="preserve">。 </w:t>
      </w:r>
      <w:r>
        <w:rPr>
          <w:rFonts w:hint="default" w:ascii="Times New Roman" w:hAnsi="Times New Roman" w:eastAsia="仿宋" w:cs="Times New Roman"/>
          <w:color w:val="auto"/>
          <w:lang w:val="en-US" w:eastAsia="zh-CN"/>
        </w:rPr>
        <w:t xml:space="preserve">  </w:t>
      </w:r>
    </w:p>
    <w:p>
      <w:pPr>
        <w:pStyle w:val="6"/>
        <w:bidi w:val="0"/>
        <w:outlineLvl w:val="0"/>
        <w:rPr>
          <w:rFonts w:hint="default" w:ascii="Times New Roman" w:hAnsi="Times New Roman" w:eastAsia="仿宋" w:cs="Times New Roman"/>
          <w:color w:val="auto"/>
          <w:szCs w:val="30"/>
        </w:rPr>
      </w:pPr>
      <w:bookmarkStart w:id="38" w:name="_Toc3535"/>
      <w:r>
        <w:rPr>
          <w:rFonts w:hint="default" w:ascii="Times New Roman" w:hAnsi="Times New Roman" w:eastAsia="仿宋" w:cs="Times New Roman"/>
          <w:color w:val="auto"/>
        </w:rPr>
        <w:t>5.3对土壤和地下水自行监测工作建议</w:t>
      </w:r>
      <w:bookmarkEnd w:id="38"/>
    </w:p>
    <w:p>
      <w:pPr>
        <w:adjustRightInd w:val="0"/>
        <w:snapToGrid w:val="0"/>
        <w:spacing w:line="348" w:lineRule="auto"/>
        <w:ind w:firstLine="600"/>
        <w:rPr>
          <w:rFonts w:hint="default" w:ascii="Times New Roman" w:hAnsi="Times New Roman" w:eastAsia="仿宋" w:cs="Times New Roman"/>
          <w:color w:val="auto"/>
          <w:sz w:val="30"/>
          <w:szCs w:val="30"/>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default" w:ascii="Times New Roman" w:hAnsi="Times New Roman" w:eastAsia="仿宋" w:cs="Times New Roman"/>
          <w:color w:val="auto"/>
          <w:sz w:val="30"/>
          <w:szCs w:val="30"/>
          <w:lang w:val="en-US" w:eastAsia="zh-CN"/>
        </w:rPr>
        <w:t xml:space="preserve">厂区负责人需严格按照已批复的环评报告每年定期在厂区地下水井处进行地下水的监测（详见自行监测方案），并实时报送岳阳市生态环境局临湘市分局备案。一旦发现液体泄漏应立即组织土壤和地下水的监测，并同时启动环境应急预案。 </w:t>
      </w:r>
    </w:p>
    <w:p>
      <w:pPr>
        <w:pStyle w:val="3"/>
        <w:numPr>
          <w:ilvl w:val="0"/>
          <w:numId w:val="0"/>
        </w:numPr>
        <w:bidi w:val="0"/>
        <w:jc w:val="center"/>
        <w:rPr>
          <w:rFonts w:hint="default" w:ascii="Times New Roman" w:hAnsi="Times New Roman" w:eastAsia="仿宋" w:cs="Times New Roman"/>
          <w:color w:val="auto"/>
        </w:rPr>
      </w:pPr>
      <w:bookmarkStart w:id="39" w:name="_Toc12385"/>
      <w:r>
        <w:rPr>
          <w:rFonts w:hint="default" w:ascii="Times New Roman" w:hAnsi="Times New Roman" w:eastAsia="仿宋" w:cs="Times New Roman"/>
          <w:color w:val="auto"/>
        </w:rPr>
        <w:t>6附件</w:t>
      </w:r>
      <w:bookmarkEnd w:id="39"/>
    </w:p>
    <w:p>
      <w:pPr>
        <w:bidi w:val="0"/>
        <w:rPr>
          <w:rFonts w:hint="default"/>
        </w:rPr>
      </w:pPr>
      <w:r>
        <w:rPr>
          <w:rFonts w:hint="default"/>
          <w:lang w:eastAsia="zh-CN"/>
        </w:rPr>
        <w:t>附件</w:t>
      </w:r>
      <w:r>
        <w:rPr>
          <w:rFonts w:hint="default"/>
          <w:lang w:val="en-US" w:eastAsia="zh-CN"/>
        </w:rPr>
        <w:t>1</w:t>
      </w:r>
      <w:r>
        <w:rPr>
          <w:rFonts w:hint="default"/>
        </w:rPr>
        <w:t>平面布置图</w:t>
      </w:r>
    </w:p>
    <w:p>
      <w:pPr>
        <w:bidi w:val="0"/>
        <w:rPr>
          <w:rFonts w:hint="default"/>
          <w:lang w:eastAsia="zh-CN"/>
        </w:rPr>
      </w:pPr>
      <w:r>
        <w:rPr>
          <w:rFonts w:hint="default"/>
          <w:lang w:eastAsia="zh-CN"/>
        </w:rPr>
        <w:t>附件</w:t>
      </w:r>
      <w:r>
        <w:rPr>
          <w:rFonts w:hint="default"/>
          <w:lang w:val="en-US" w:eastAsia="zh-CN"/>
        </w:rPr>
        <w:t>2</w:t>
      </w:r>
      <w:bookmarkStart w:id="40" w:name="_Toc6707"/>
      <w:r>
        <w:rPr>
          <w:rFonts w:hint="default"/>
          <w:lang w:eastAsia="zh-CN"/>
        </w:rPr>
        <w:t>企业环评批文</w:t>
      </w:r>
      <w:bookmarkEnd w:id="40"/>
    </w:p>
    <w:p>
      <w:pPr>
        <w:bidi w:val="0"/>
        <w:rPr>
          <w:rFonts w:hint="eastAsia"/>
          <w:lang w:val="en-US" w:eastAsia="zh-CN"/>
        </w:rPr>
      </w:pPr>
      <w:r>
        <w:rPr>
          <w:rFonts w:hint="default"/>
          <w:lang w:val="en-US" w:eastAsia="zh-CN"/>
        </w:rPr>
        <w:t xml:space="preserve">附件3 </w:t>
      </w:r>
      <w:r>
        <w:rPr>
          <w:rFonts w:hint="eastAsia"/>
          <w:lang w:val="en-US" w:eastAsia="zh-CN"/>
        </w:rPr>
        <w:t>企业规章制度</w:t>
      </w:r>
    </w:p>
    <w:p>
      <w:pPr>
        <w:bidi w:val="0"/>
        <w:rPr>
          <w:rFonts w:hint="default"/>
          <w:lang w:val="en-US" w:eastAsia="zh-CN"/>
        </w:rPr>
      </w:pPr>
      <w:r>
        <w:rPr>
          <w:rFonts w:hint="eastAsia"/>
          <w:lang w:val="en-US" w:eastAsia="zh-CN"/>
        </w:rPr>
        <w:t>附件4 企业清洁生产审批表</w:t>
      </w:r>
      <w:r>
        <w:rPr>
          <w:rFonts w:hint="default"/>
          <w:lang w:val="en-US" w:eastAsia="zh-CN"/>
        </w:rPr>
        <w:t xml:space="preserve"> </w:t>
      </w:r>
    </w:p>
    <w:p>
      <w:pPr>
        <w:bidi w:val="0"/>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eastAsia"/>
          <w:lang w:val="en-US" w:eastAsia="zh-CN"/>
        </w:rPr>
        <w:t>附件5 土壤和地下水监测方案</w:t>
      </w:r>
    </w:p>
    <w:p>
      <w:pPr>
        <w:ind w:left="0" w:leftChars="0" w:firstLine="0" w:firstLineChars="0"/>
        <w:rPr>
          <w:rFonts w:hint="default" w:ascii="Times New Roman" w:hAnsi="Times New Roman" w:eastAsia="仿宋" w:cs="Times New Roman"/>
          <w:b/>
          <w:bCs/>
          <w:color w:val="auto"/>
          <w:lang w:val="en-US" w:eastAsia="zh-CN"/>
        </w:rPr>
      </w:pPr>
      <w:r>
        <w:rPr>
          <w:rFonts w:hint="default" w:ascii="Times New Roman" w:hAnsi="Times New Roman" w:eastAsia="仿宋" w:cs="Times New Roman"/>
          <w:b/>
          <w:bCs/>
          <w:color w:val="auto"/>
          <w:lang w:eastAsia="zh-CN"/>
        </w:rPr>
        <w:t>附件</w:t>
      </w:r>
      <w:r>
        <w:rPr>
          <w:rFonts w:hint="default" w:ascii="Times New Roman" w:hAnsi="Times New Roman" w:eastAsia="仿宋" w:cs="Times New Roman"/>
          <w:b/>
          <w:bCs/>
          <w:color w:val="auto"/>
          <w:lang w:val="en-US" w:eastAsia="zh-CN"/>
        </w:rPr>
        <w:t>1 项目平面布置图</w:t>
      </w:r>
    </w:p>
    <w:p>
      <w:pPr>
        <w:ind w:left="0" w:leftChars="0" w:firstLine="0" w:firstLineChars="0"/>
        <w:jc w:val="center"/>
        <w:rPr>
          <w:rFonts w:hint="default" w:ascii="Times New Roman" w:hAnsi="Times New Roman" w:eastAsia="仿宋" w:cs="Times New Roman"/>
          <w:color w:val="auto"/>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213360</wp:posOffset>
                </wp:positionH>
                <wp:positionV relativeFrom="paragraph">
                  <wp:posOffset>2186305</wp:posOffset>
                </wp:positionV>
                <wp:extent cx="1038225" cy="2466975"/>
                <wp:effectExtent l="64135" t="25400" r="78740" b="41275"/>
                <wp:wrapNone/>
                <wp:docPr id="10" name="矩形 10"/>
                <wp:cNvGraphicFramePr/>
                <a:graphic xmlns:a="http://schemas.openxmlformats.org/drawingml/2006/main">
                  <a:graphicData uri="http://schemas.microsoft.com/office/word/2010/wordprocessingShape">
                    <wps:wsp>
                      <wps:cNvSpPr/>
                      <wps:spPr>
                        <a:xfrm rot="180000">
                          <a:off x="1423035" y="3388360"/>
                          <a:ext cx="1038225" cy="2466975"/>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8pt;margin-top:172.15pt;height:194.25pt;width:81.75pt;rotation:196608f;z-index:251659264;v-text-anchor:middle;mso-width-relative:page;mso-height-relative:page;" fillcolor="#FFFFFF [3201]" filled="t" stroked="f" coordsize="21600,21600" o:gfxdata="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MzehaNoAAAAKAQAADwAAAAAAAAABACAA&#10;AAAiAAAAZHJzL2Rvd25yZXYueG1sUEsBAhQAFAAAAAgAh07iQMq0e+h9AgAA5wQAAA4AAAAAAAAA&#10;AQAgAAAAKQEAAGRycy9lMm9Eb2MueG1sUEsFBgAAAAAGAAYAWQEAABgGAAAAAA==&#10;">
                <v:fill on="t" focussize="0,0"/>
                <v:stroke on="f" weight="1pt" miterlimit="8" joinstyle="miter"/>
                <v:imagedata o:title=""/>
                <o:lock v:ext="edit" aspectratio="f"/>
              </v:rect>
            </w:pict>
          </mc:Fallback>
        </mc:AlternateContent>
      </w:r>
      <w:r>
        <w:drawing>
          <wp:inline distT="0" distB="0" distL="114300" distR="114300">
            <wp:extent cx="5419725" cy="7335520"/>
            <wp:effectExtent l="0" t="0" r="9525" b="1778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5"/>
                    <a:stretch>
                      <a:fillRect/>
                    </a:stretch>
                  </pic:blipFill>
                  <pic:spPr>
                    <a:xfrm>
                      <a:off x="0" y="0"/>
                      <a:ext cx="5419725" cy="7335520"/>
                    </a:xfrm>
                    <a:prstGeom prst="rect">
                      <a:avLst/>
                    </a:prstGeom>
                    <a:noFill/>
                    <a:ln>
                      <a:noFill/>
                    </a:ln>
                  </pic:spPr>
                </pic:pic>
              </a:graphicData>
            </a:graphic>
          </wp:inline>
        </w:drawing>
      </w:r>
    </w:p>
    <w:p>
      <w:pPr>
        <w:pStyle w:val="6"/>
        <w:bidi w:val="0"/>
        <w:outlineLvl w:val="9"/>
        <w:rPr>
          <w:rFonts w:hint="default" w:ascii="Times New Roman" w:hAnsi="Times New Roman" w:eastAsia="仿宋" w:cs="Times New Roman"/>
          <w:color w:val="auto"/>
        </w:rPr>
      </w:pPr>
    </w:p>
    <w:p>
      <w:pPr>
        <w:ind w:left="0" w:leftChars="0" w:firstLine="0" w:firstLineChars="0"/>
        <w:jc w:val="both"/>
        <w:rPr>
          <w:rFonts w:hint="default" w:ascii="Times New Roman" w:hAnsi="Times New Roman" w:eastAsia="仿宋" w:cs="Times New Roman"/>
          <w:b/>
          <w:color w:val="auto"/>
          <w:kern w:val="2"/>
          <w:sz w:val="32"/>
          <w:szCs w:val="22"/>
          <w:lang w:val="en-US" w:eastAsia="zh-CN" w:bidi="ar-SA"/>
        </w:rPr>
      </w:pPr>
    </w:p>
    <w:p>
      <w:pPr>
        <w:ind w:left="0" w:leftChars="0" w:firstLine="0" w:firstLineChars="0"/>
        <w:jc w:val="left"/>
        <w:rPr>
          <w:rFonts w:hint="default" w:ascii="Times New Roman" w:hAnsi="Times New Roman" w:eastAsia="仿宋" w:cs="Times New Roman"/>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default" w:ascii="Times New Roman" w:hAnsi="Times New Roman" w:eastAsia="仿宋" w:cs="Times New Roman"/>
          <w:b/>
          <w:color w:val="auto"/>
          <w:kern w:val="2"/>
          <w:sz w:val="32"/>
          <w:szCs w:val="22"/>
          <w:lang w:val="en-US" w:eastAsia="zh-CN" w:bidi="ar-SA"/>
        </w:rPr>
        <w:t>附件2企业环评批文及验收文件</w:t>
      </w:r>
      <w:r>
        <w:drawing>
          <wp:inline distT="0" distB="0" distL="114300" distR="114300">
            <wp:extent cx="4828540" cy="6835775"/>
            <wp:effectExtent l="0" t="0" r="10160" b="317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6"/>
                    <a:stretch>
                      <a:fillRect/>
                    </a:stretch>
                  </pic:blipFill>
                  <pic:spPr>
                    <a:xfrm>
                      <a:off x="0" y="0"/>
                      <a:ext cx="4828540" cy="6835775"/>
                    </a:xfrm>
                    <a:prstGeom prst="rect">
                      <a:avLst/>
                    </a:prstGeom>
                    <a:noFill/>
                    <a:ln>
                      <a:noFill/>
                    </a:ln>
                  </pic:spPr>
                </pic:pic>
              </a:graphicData>
            </a:graphic>
          </wp:inline>
        </w:drawing>
      </w:r>
    </w:p>
    <w:p>
      <w:pPr>
        <w:pStyle w:val="7"/>
        <w:ind w:left="0" w:leftChars="0" w:firstLine="0" w:firstLineChars="0"/>
        <w:jc w:val="left"/>
        <w:rPr>
          <w:rFonts w:hint="eastAsia" w:eastAsia="仿宋" w:cs="Times New Roman"/>
          <w:color w:val="auto"/>
          <w:sz w:val="32"/>
          <w:szCs w:val="22"/>
          <w:lang w:val="en-US" w:eastAsia="zh-CN"/>
        </w:rPr>
      </w:pPr>
      <w:r>
        <w:rPr>
          <w:rFonts w:hint="eastAsia" w:eastAsia="仿宋" w:cs="Times New Roman"/>
          <w:color w:val="auto"/>
          <w:lang w:val="en-US" w:eastAsia="zh-CN"/>
        </w:rPr>
        <w:t>附件3</w:t>
      </w:r>
      <w:r>
        <w:rPr>
          <w:rFonts w:hint="default" w:ascii="Times New Roman" w:hAnsi="Times New Roman" w:eastAsia="仿宋" w:cs="Times New Roman"/>
          <w:color w:val="auto"/>
          <w:sz w:val="32"/>
          <w:szCs w:val="22"/>
          <w:lang w:val="en-US" w:eastAsia="zh-CN"/>
        </w:rPr>
        <w:t xml:space="preserve"> </w:t>
      </w:r>
      <w:r>
        <w:rPr>
          <w:rFonts w:hint="eastAsia" w:eastAsia="仿宋" w:cs="Times New Roman"/>
          <w:color w:val="auto"/>
          <w:sz w:val="32"/>
          <w:szCs w:val="22"/>
          <w:lang w:val="en-US" w:eastAsia="zh-CN"/>
        </w:rPr>
        <w:t>企业规章制度</w:t>
      </w:r>
    </w:p>
    <w:p>
      <w:r>
        <w:drawing>
          <wp:inline distT="0" distB="0" distL="114300" distR="114300">
            <wp:extent cx="5067300" cy="7876540"/>
            <wp:effectExtent l="0" t="0" r="0" b="1016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7"/>
                    <a:stretch>
                      <a:fillRect/>
                    </a:stretch>
                  </pic:blipFill>
                  <pic:spPr>
                    <a:xfrm>
                      <a:off x="0" y="0"/>
                      <a:ext cx="5067300" cy="7876540"/>
                    </a:xfrm>
                    <a:prstGeom prst="rect">
                      <a:avLst/>
                    </a:prstGeom>
                    <a:noFill/>
                    <a:ln>
                      <a:noFill/>
                    </a:ln>
                  </pic:spPr>
                </pic:pic>
              </a:graphicData>
            </a:graphic>
          </wp:inline>
        </w:drawing>
      </w:r>
    </w:p>
    <w:p>
      <w:pPr>
        <w:pStyle w:val="7"/>
      </w:pPr>
      <w:r>
        <w:drawing>
          <wp:inline distT="0" distB="0" distL="114300" distR="114300">
            <wp:extent cx="4779645" cy="7496175"/>
            <wp:effectExtent l="0" t="0" r="1905" b="9525"/>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18"/>
                    <a:stretch>
                      <a:fillRect/>
                    </a:stretch>
                  </pic:blipFill>
                  <pic:spPr>
                    <a:xfrm>
                      <a:off x="0" y="0"/>
                      <a:ext cx="4779645" cy="7496175"/>
                    </a:xfrm>
                    <a:prstGeom prst="rect">
                      <a:avLst/>
                    </a:prstGeom>
                    <a:noFill/>
                    <a:ln>
                      <a:noFill/>
                    </a:ln>
                  </pic:spPr>
                </pic:pic>
              </a:graphicData>
            </a:graphic>
          </wp:inline>
        </w:drawing>
      </w:r>
    </w:p>
    <w:p/>
    <w:p>
      <w:pPr>
        <w:pStyle w:val="7"/>
        <w:ind w:left="0" w:leftChars="0" w:firstLine="0" w:firstLineChars="0"/>
      </w:pPr>
      <w:r>
        <w:drawing>
          <wp:inline distT="0" distB="0" distL="114300" distR="114300">
            <wp:extent cx="5142865" cy="7732395"/>
            <wp:effectExtent l="0" t="0" r="635" b="1905"/>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19"/>
                    <a:stretch>
                      <a:fillRect/>
                    </a:stretch>
                  </pic:blipFill>
                  <pic:spPr>
                    <a:xfrm>
                      <a:off x="0" y="0"/>
                      <a:ext cx="5142865" cy="7732395"/>
                    </a:xfrm>
                    <a:prstGeom prst="rect">
                      <a:avLst/>
                    </a:prstGeom>
                    <a:noFill/>
                    <a:ln>
                      <a:noFill/>
                    </a:ln>
                  </pic:spPr>
                </pic:pic>
              </a:graphicData>
            </a:graphic>
          </wp:inline>
        </w:drawing>
      </w:r>
    </w:p>
    <w:p/>
    <w:p>
      <w:pPr>
        <w:pStyle w:val="7"/>
      </w:pPr>
      <w:r>
        <w:drawing>
          <wp:inline distT="0" distB="0" distL="114300" distR="114300">
            <wp:extent cx="5075555" cy="7083425"/>
            <wp:effectExtent l="0" t="0" r="10795" b="3175"/>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20"/>
                    <a:stretch>
                      <a:fillRect/>
                    </a:stretch>
                  </pic:blipFill>
                  <pic:spPr>
                    <a:xfrm>
                      <a:off x="0" y="0"/>
                      <a:ext cx="5075555" cy="7083425"/>
                    </a:xfrm>
                    <a:prstGeom prst="rect">
                      <a:avLst/>
                    </a:prstGeom>
                    <a:noFill/>
                    <a:ln>
                      <a:noFill/>
                    </a:ln>
                  </pic:spPr>
                </pic:pic>
              </a:graphicData>
            </a:graphic>
          </wp:inline>
        </w:drawing>
      </w:r>
    </w:p>
    <w:p/>
    <w:p>
      <w:pPr>
        <w:pStyle w:val="7"/>
      </w:pPr>
    </w:p>
    <w:p/>
    <w:p>
      <w:pPr>
        <w:ind w:left="0" w:leftChars="0" w:firstLine="0" w:firstLineChars="0"/>
      </w:pPr>
    </w:p>
    <w:p>
      <w:pPr>
        <w:ind w:left="0" w:leftChars="0" w:firstLine="0" w:firstLineChars="0"/>
        <w:rPr>
          <w:rFonts w:hint="eastAsia" w:eastAsia="仿宋" w:cs="Times New Roman"/>
          <w:color w:val="auto"/>
          <w:sz w:val="32"/>
          <w:szCs w:val="22"/>
          <w:lang w:val="en-US" w:eastAsia="zh-CN"/>
        </w:rPr>
      </w:pPr>
      <w:r>
        <w:rPr>
          <w:rFonts w:hint="eastAsia" w:eastAsia="仿宋" w:cs="Times New Roman"/>
          <w:color w:val="auto"/>
          <w:sz w:val="32"/>
          <w:szCs w:val="22"/>
          <w:lang w:val="en-US" w:eastAsia="zh-CN"/>
        </w:rPr>
        <w:t>附件4 企业清洁生产审批表</w:t>
      </w:r>
    </w:p>
    <w:p>
      <w:pPr>
        <w:bidi w:val="0"/>
      </w:pPr>
      <w:r>
        <w:drawing>
          <wp:inline distT="0" distB="0" distL="114300" distR="114300">
            <wp:extent cx="4714240" cy="7819390"/>
            <wp:effectExtent l="0" t="0" r="10160" b="1016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21"/>
                    <a:stretch>
                      <a:fillRect/>
                    </a:stretch>
                  </pic:blipFill>
                  <pic:spPr>
                    <a:xfrm>
                      <a:off x="0" y="0"/>
                      <a:ext cx="4714240" cy="7819390"/>
                    </a:xfrm>
                    <a:prstGeom prst="rect">
                      <a:avLst/>
                    </a:prstGeom>
                    <a:noFill/>
                    <a:ln>
                      <a:noFill/>
                    </a:ln>
                  </pic:spPr>
                </pic:pic>
              </a:graphicData>
            </a:graphic>
          </wp:inline>
        </w:drawing>
      </w:r>
    </w:p>
    <w:p>
      <w:pPr>
        <w:ind w:left="0" w:leftChars="0" w:firstLine="0" w:firstLineChars="0"/>
        <w:rPr>
          <w:rFonts w:hint="eastAsia" w:eastAsia="仿宋" w:cs="Times New Roman"/>
          <w:color w:val="auto"/>
          <w:sz w:val="32"/>
          <w:szCs w:val="22"/>
          <w:lang w:val="en-US" w:eastAsia="zh-CN"/>
        </w:rPr>
      </w:pPr>
    </w:p>
    <w:p>
      <w:pPr>
        <w:pStyle w:val="3"/>
        <w:numPr>
          <w:ilvl w:val="0"/>
          <w:numId w:val="0"/>
        </w:numPr>
        <w:bidi w:val="0"/>
        <w:jc w:val="left"/>
        <w:rPr>
          <w:rFonts w:hint="eastAsia"/>
          <w:lang w:val="en-US" w:eastAsia="zh-CN"/>
        </w:rPr>
      </w:pPr>
      <w:bookmarkStart w:id="41" w:name="_Toc3804"/>
      <w:bookmarkStart w:id="42" w:name="_Toc22366"/>
      <w:r>
        <w:rPr>
          <w:rFonts w:hint="eastAsia"/>
          <w:lang w:val="en-US" w:eastAsia="zh-CN"/>
        </w:rPr>
        <w:t>附件5 土壤地下水监测方案</w:t>
      </w:r>
      <w:bookmarkEnd w:id="41"/>
      <w:bookmarkEnd w:id="42"/>
    </w:p>
    <w:p>
      <w:pPr>
        <w:jc w:val="center"/>
        <w:rPr>
          <w:rFonts w:hint="eastAsia" w:ascii="宋体" w:hAnsi="宋体" w:eastAsia="宋体" w:cs="宋体"/>
          <w:b/>
          <w:sz w:val="32"/>
          <w:szCs w:val="36"/>
        </w:rPr>
      </w:pPr>
      <w:r>
        <w:rPr>
          <w:rFonts w:hint="eastAsia" w:ascii="宋体" w:hAnsi="宋体" w:cs="宋体"/>
          <w:b/>
          <w:sz w:val="32"/>
          <w:szCs w:val="36"/>
          <w:lang w:val="en-US" w:eastAsia="zh-CN"/>
        </w:rPr>
        <w:t>岳阳市云溪区云兴矿业有限公司</w:t>
      </w:r>
      <w:r>
        <w:rPr>
          <w:rFonts w:hint="eastAsia" w:ascii="宋体" w:hAnsi="宋体" w:eastAsia="宋体" w:cs="宋体"/>
          <w:b/>
          <w:sz w:val="32"/>
          <w:szCs w:val="36"/>
          <w:lang w:val="en-US" w:eastAsia="zh-CN"/>
        </w:rPr>
        <w:t>土壤和地下水自行</w:t>
      </w:r>
      <w:r>
        <w:rPr>
          <w:rFonts w:hint="eastAsia" w:ascii="宋体" w:hAnsi="宋体" w:eastAsia="宋体" w:cs="宋体"/>
          <w:b/>
          <w:sz w:val="32"/>
          <w:szCs w:val="36"/>
        </w:rPr>
        <w:t>监测方案</w:t>
      </w:r>
    </w:p>
    <w:p>
      <w:pPr>
        <w:spacing w:line="360" w:lineRule="auto"/>
        <w:ind w:firstLine="482" w:firstLineChars="200"/>
        <w:rPr>
          <w:rFonts w:hint="eastAsia" w:ascii="宋体" w:hAnsi="宋体" w:eastAsia="宋体" w:cs="宋体"/>
          <w:b/>
          <w:sz w:val="24"/>
          <w:szCs w:val="21"/>
        </w:rPr>
      </w:pPr>
      <w:r>
        <w:rPr>
          <w:rFonts w:hint="eastAsia" w:ascii="宋体" w:hAnsi="宋体" w:eastAsia="宋体" w:cs="宋体"/>
          <w:b/>
          <w:sz w:val="24"/>
          <w:szCs w:val="21"/>
        </w:rPr>
        <w:t>项目所在位置：</w:t>
      </w:r>
    </w:p>
    <w:p>
      <w:pPr>
        <w:tabs>
          <w:tab w:val="center" w:pos="4819"/>
        </w:tabs>
        <w:spacing w:line="360" w:lineRule="auto"/>
        <w:jc w:val="left"/>
        <w:outlineLvl w:val="0"/>
        <w:rPr>
          <w:rFonts w:hint="default" w:eastAsia="宋体"/>
          <w:lang w:val="en-US" w:eastAsia="zh-CN"/>
        </w:rPr>
      </w:pPr>
      <w:bookmarkStart w:id="43" w:name="_Toc26722"/>
      <w:bookmarkStart w:id="44" w:name="_Toc17660"/>
      <w:bookmarkStart w:id="45" w:name="_Toc1148"/>
      <w:bookmarkStart w:id="46" w:name="_Toc8385"/>
      <w:r>
        <w:rPr>
          <w:rFonts w:hint="eastAsia"/>
        </w:rPr>
        <w:t>岳阳市云溪区</w:t>
      </w:r>
      <w:r>
        <w:rPr>
          <w:rFonts w:hint="eastAsia"/>
          <w:lang w:eastAsia="zh-CN"/>
        </w:rPr>
        <w:t>路口镇金桔路</w:t>
      </w:r>
      <w:r>
        <w:rPr>
          <w:rFonts w:hint="eastAsia"/>
          <w:lang w:val="en-US" w:eastAsia="zh-CN"/>
        </w:rPr>
        <w:t>58号</w:t>
      </w:r>
      <w:bookmarkEnd w:id="43"/>
      <w:bookmarkEnd w:id="44"/>
      <w:bookmarkEnd w:id="45"/>
      <w:bookmarkEnd w:id="46"/>
    </w:p>
    <w:p>
      <w:pPr>
        <w:tabs>
          <w:tab w:val="center" w:pos="4819"/>
        </w:tabs>
        <w:spacing w:line="360" w:lineRule="auto"/>
        <w:outlineLvl w:val="0"/>
        <w:rPr>
          <w:rFonts w:hint="eastAsia" w:ascii="宋体" w:hAnsi="宋体" w:eastAsia="宋体" w:cs="宋体"/>
          <w:b/>
          <w:bCs/>
          <w:sz w:val="24"/>
          <w:szCs w:val="21"/>
        </w:rPr>
      </w:pPr>
      <w:bookmarkStart w:id="47" w:name="_Toc10440"/>
      <w:bookmarkStart w:id="48" w:name="_Toc5691"/>
      <w:bookmarkStart w:id="49" w:name="_Toc26709"/>
      <w:bookmarkStart w:id="50" w:name="_Toc12419"/>
      <w:r>
        <w:rPr>
          <w:rFonts w:hint="eastAsia" w:ascii="宋体" w:hAnsi="宋体" w:eastAsia="宋体" w:cs="宋体"/>
          <w:b/>
          <w:bCs/>
          <w:sz w:val="24"/>
          <w:szCs w:val="21"/>
        </w:rPr>
        <w:t>（一）</w:t>
      </w:r>
      <w:r>
        <w:rPr>
          <w:rFonts w:hint="eastAsia" w:ascii="宋体" w:hAnsi="宋体" w:eastAsia="宋体" w:cs="宋体"/>
          <w:b/>
          <w:bCs/>
          <w:sz w:val="24"/>
          <w:szCs w:val="21"/>
          <w:lang w:eastAsia="zh-CN"/>
        </w:rPr>
        <w:t>土壤自行</w:t>
      </w:r>
      <w:r>
        <w:rPr>
          <w:rFonts w:hint="eastAsia" w:ascii="宋体" w:hAnsi="宋体" w:eastAsia="宋体" w:cs="宋体"/>
          <w:b/>
          <w:bCs/>
          <w:sz w:val="24"/>
          <w:szCs w:val="21"/>
        </w:rPr>
        <w:t>监测方案</w:t>
      </w:r>
      <w:bookmarkEnd w:id="47"/>
      <w:bookmarkEnd w:id="48"/>
      <w:bookmarkEnd w:id="49"/>
      <w:bookmarkEnd w:id="50"/>
      <w:r>
        <w:rPr>
          <w:rFonts w:hint="eastAsia" w:ascii="宋体" w:hAnsi="宋体" w:eastAsia="宋体" w:cs="宋体"/>
          <w:b/>
          <w:bCs/>
          <w:sz w:val="24"/>
          <w:szCs w:val="21"/>
        </w:rPr>
        <w:tab/>
      </w:r>
    </w:p>
    <w:p>
      <w:pPr>
        <w:snapToGrid w:val="0"/>
        <w:spacing w:line="360" w:lineRule="auto"/>
        <w:ind w:firstLine="480"/>
        <w:rPr>
          <w:rFonts w:hint="eastAsia" w:ascii="宋体" w:hAnsi="宋体" w:eastAsia="仿宋_GB2312" w:cs="宋体"/>
          <w:sz w:val="24"/>
          <w:szCs w:val="24"/>
          <w:lang w:val="en-US" w:eastAsia="zh-CN"/>
        </w:rPr>
      </w:pPr>
      <w:r>
        <w:rPr>
          <w:rFonts w:hint="eastAsia" w:ascii="宋体" w:hAnsi="宋体" w:eastAsia="宋体" w:cs="宋体"/>
          <w:b/>
          <w:kern w:val="2"/>
          <w:sz w:val="24"/>
          <w:szCs w:val="21"/>
          <w:lang w:val="en-US" w:eastAsia="zh-CN" w:bidi="ar-SA"/>
        </w:rPr>
        <w:t>1、监测项目：</w:t>
      </w:r>
      <w:r>
        <w:rPr>
          <w:rFonts w:hint="eastAsia" w:ascii="仿宋_GB2312" w:hAnsi="仿宋_GB2312" w:eastAsia="仿宋_GB2312" w:cs="仿宋_GB2312"/>
          <w:sz w:val="24"/>
          <w:szCs w:val="24"/>
          <w:lang w:val="en-US" w:eastAsia="zh-CN"/>
        </w:rPr>
        <w:t>二恶因、</w:t>
      </w:r>
      <w:r>
        <w:rPr>
          <w:rFonts w:hint="eastAsia" w:ascii="仿宋_GB2312" w:hAnsi="仿宋_GB2312" w:eastAsia="仿宋_GB2312" w:cs="仿宋_GB2312"/>
          <w:sz w:val="24"/>
          <w:szCs w:val="24"/>
        </w:rPr>
        <w:t>镉、铅、铬、铜、锌、镍、汞、砷</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锰、钴、硒、钒、锑、铊、铍、钼</w:t>
      </w:r>
    </w:p>
    <w:p>
      <w:pPr>
        <w:pStyle w:val="25"/>
        <w:spacing w:line="360" w:lineRule="auto"/>
        <w:jc w:val="both"/>
        <w:rPr>
          <w:rFonts w:hint="eastAsia" w:ascii="宋体" w:hAnsi="宋体" w:eastAsia="宋体" w:cs="宋体"/>
          <w:b w:val="0"/>
          <w:szCs w:val="21"/>
        </w:rPr>
      </w:pPr>
      <w:r>
        <w:rPr>
          <w:rFonts w:hint="eastAsia" w:ascii="宋体" w:hAnsi="宋体" w:eastAsia="宋体" w:cs="宋体"/>
          <w:szCs w:val="21"/>
        </w:rPr>
        <w:t>2、监测点位：</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表</w:t>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t xml:space="preserve">  </w:t>
      </w:r>
      <w:r>
        <w:rPr>
          <w:rFonts w:hint="eastAsia" w:ascii="宋体" w:hAnsi="宋体" w:cs="宋体"/>
          <w:b/>
          <w:bCs/>
          <w:sz w:val="21"/>
          <w:szCs w:val="21"/>
          <w:lang w:eastAsia="zh-CN"/>
        </w:rPr>
        <w:t>土壤</w:t>
      </w:r>
      <w:r>
        <w:rPr>
          <w:rFonts w:hint="eastAsia" w:ascii="宋体" w:hAnsi="宋体" w:eastAsia="宋体" w:cs="宋体"/>
          <w:b/>
          <w:bCs/>
          <w:sz w:val="21"/>
          <w:szCs w:val="21"/>
        </w:rPr>
        <w:t>监测布点情况</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1"/>
        <w:gridCol w:w="2555"/>
        <w:gridCol w:w="2562"/>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4"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rPr>
            </w:pPr>
            <w:r>
              <w:rPr>
                <w:rFonts w:hint="eastAsia" w:ascii="宋体" w:hAnsi="宋体" w:eastAsia="宋体" w:cs="宋体"/>
                <w:bCs/>
                <w:szCs w:val="21"/>
              </w:rPr>
              <w:t>点位序号</w:t>
            </w:r>
          </w:p>
        </w:tc>
        <w:tc>
          <w:tcPr>
            <w:tcW w:w="3000" w:type="pct"/>
            <w:gridSpan w:val="2"/>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rPr>
            </w:pPr>
            <w:r>
              <w:rPr>
                <w:rFonts w:hint="eastAsia" w:ascii="宋体" w:hAnsi="宋体" w:eastAsia="宋体" w:cs="宋体"/>
                <w:bCs/>
                <w:szCs w:val="21"/>
              </w:rPr>
              <w:t>点位和取样种类说明</w:t>
            </w:r>
          </w:p>
        </w:tc>
        <w:tc>
          <w:tcPr>
            <w:tcW w:w="1165"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lang w:eastAsia="zh-CN"/>
              </w:rPr>
            </w:pPr>
            <w:r>
              <w:rPr>
                <w:rFonts w:hint="eastAsia" w:ascii="宋体" w:hAnsi="宋体" w:eastAsia="宋体" w:cs="宋体"/>
                <w:bCs/>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4"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rPr>
            </w:pPr>
            <w:r>
              <w:rPr>
                <w:rFonts w:hint="eastAsia" w:ascii="宋体" w:hAnsi="宋体" w:eastAsia="宋体" w:cs="宋体"/>
                <w:bCs/>
                <w:szCs w:val="21"/>
              </w:rPr>
              <w:t>S1</w:t>
            </w:r>
          </w:p>
        </w:tc>
        <w:tc>
          <w:tcPr>
            <w:tcW w:w="1498"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default" w:ascii="宋体" w:hAnsi="宋体" w:eastAsia="宋体" w:cs="宋体"/>
                <w:bCs/>
                <w:szCs w:val="21"/>
                <w:lang w:val="en-US"/>
              </w:rPr>
            </w:pPr>
            <w:r>
              <w:rPr>
                <w:rFonts w:hint="eastAsia" w:ascii="宋体" w:hAnsi="宋体" w:eastAsia="宋体" w:cs="宋体"/>
                <w:bCs/>
                <w:szCs w:val="21"/>
              </w:rPr>
              <w:t>厂</w:t>
            </w:r>
            <w:r>
              <w:rPr>
                <w:rFonts w:hint="eastAsia" w:ascii="宋体" w:hAnsi="宋体" w:eastAsia="宋体" w:cs="宋体"/>
                <w:bCs/>
                <w:szCs w:val="21"/>
                <w:lang w:eastAsia="zh-CN"/>
              </w:rPr>
              <w:t>区外</w:t>
            </w:r>
            <w:r>
              <w:rPr>
                <w:rFonts w:hint="eastAsia" w:ascii="宋体" w:hAnsi="宋体" w:cs="宋体"/>
                <w:bCs/>
                <w:szCs w:val="21"/>
                <w:lang w:eastAsia="zh-CN"/>
              </w:rPr>
              <w:t>东侧</w:t>
            </w:r>
            <w:r>
              <w:rPr>
                <w:rFonts w:hint="eastAsia" w:ascii="宋体" w:hAnsi="宋体" w:cs="宋体"/>
                <w:bCs/>
                <w:szCs w:val="21"/>
                <w:lang w:val="en-US" w:eastAsia="zh-CN"/>
              </w:rPr>
              <w:t>5m</w:t>
            </w:r>
          </w:p>
        </w:tc>
        <w:tc>
          <w:tcPr>
            <w:tcW w:w="1501"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rPr>
            </w:pPr>
            <w:r>
              <w:rPr>
                <w:rFonts w:hint="eastAsia" w:ascii="宋体" w:hAnsi="宋体" w:eastAsia="宋体" w:cs="宋体"/>
                <w:bCs/>
                <w:szCs w:val="21"/>
              </w:rPr>
              <w:t>表层样（0~0.2m）</w:t>
            </w:r>
          </w:p>
        </w:tc>
        <w:tc>
          <w:tcPr>
            <w:tcW w:w="1165"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lang w:eastAsia="zh-CN"/>
              </w:rPr>
            </w:pPr>
            <w:r>
              <w:rPr>
                <w:rFonts w:hint="eastAsia" w:ascii="宋体" w:hAnsi="宋体" w:eastAsia="宋体" w:cs="宋体"/>
                <w:bCs/>
                <w:szCs w:val="21"/>
                <w:lang w:eastAsia="zh-CN"/>
              </w:rPr>
              <w:t>环境</w:t>
            </w:r>
            <w:r>
              <w:rPr>
                <w:rFonts w:hint="eastAsia" w:ascii="宋体" w:hAnsi="宋体" w:cs="宋体"/>
                <w:bCs/>
                <w:szCs w:val="21"/>
                <w:lang w:eastAsia="zh-CN"/>
              </w:rPr>
              <w:t>背景</w:t>
            </w:r>
            <w:r>
              <w:rPr>
                <w:rFonts w:hint="eastAsia" w:ascii="宋体" w:hAnsi="宋体" w:eastAsia="宋体" w:cs="宋体"/>
                <w:bCs/>
                <w:szCs w:val="21"/>
                <w:lang w:eastAsia="zh-CN"/>
              </w:rPr>
              <w:t>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4"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rPr>
            </w:pPr>
            <w:r>
              <w:rPr>
                <w:rFonts w:hint="eastAsia" w:ascii="宋体" w:hAnsi="宋体" w:eastAsia="宋体" w:cs="宋体"/>
                <w:bCs/>
                <w:szCs w:val="21"/>
              </w:rPr>
              <w:t>S2</w:t>
            </w:r>
          </w:p>
        </w:tc>
        <w:tc>
          <w:tcPr>
            <w:tcW w:w="1498"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default" w:ascii="宋体" w:hAnsi="宋体" w:eastAsia="宋体" w:cs="宋体"/>
                <w:bCs/>
                <w:szCs w:val="21"/>
                <w:lang w:val="en-US" w:eastAsia="zh-CN"/>
              </w:rPr>
            </w:pPr>
            <w:r>
              <w:rPr>
                <w:rFonts w:hint="eastAsia" w:ascii="宋体" w:hAnsi="宋体" w:cs="宋体"/>
                <w:bCs/>
                <w:szCs w:val="21"/>
                <w:lang w:eastAsia="zh-CN"/>
              </w:rPr>
              <w:t>储罐区东</w:t>
            </w:r>
            <w:r>
              <w:rPr>
                <w:rFonts w:hint="eastAsia" w:ascii="宋体" w:hAnsi="宋体" w:cs="宋体"/>
                <w:bCs/>
                <w:szCs w:val="21"/>
                <w:lang w:val="en-US" w:eastAsia="zh-CN"/>
              </w:rPr>
              <w:t>3m</w:t>
            </w:r>
          </w:p>
        </w:tc>
        <w:tc>
          <w:tcPr>
            <w:tcW w:w="1501"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szCs w:val="21"/>
              </w:rPr>
            </w:pPr>
            <w:r>
              <w:rPr>
                <w:rFonts w:hint="eastAsia" w:ascii="宋体" w:hAnsi="宋体" w:eastAsia="宋体" w:cs="宋体"/>
                <w:bCs/>
                <w:szCs w:val="21"/>
              </w:rPr>
              <w:t>表层样（0~0.2m）</w:t>
            </w:r>
          </w:p>
        </w:tc>
        <w:tc>
          <w:tcPr>
            <w:tcW w:w="1165" w:type="pct"/>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textAlignment w:val="auto"/>
              <w:rPr>
                <w:rFonts w:hint="eastAsia" w:ascii="宋体" w:hAnsi="宋体" w:eastAsia="宋体" w:cs="宋体"/>
                <w:bCs/>
                <w:color w:val="auto"/>
                <w:szCs w:val="21"/>
                <w:lang w:eastAsia="zh-CN"/>
              </w:rPr>
            </w:pPr>
            <w:r>
              <w:rPr>
                <w:rFonts w:hint="eastAsia" w:ascii="宋体" w:hAnsi="宋体" w:cs="宋体"/>
                <w:bCs/>
                <w:color w:val="auto"/>
                <w:szCs w:val="21"/>
                <w:lang w:val="en-US" w:eastAsia="zh-CN"/>
              </w:rPr>
              <w:t>/</w:t>
            </w:r>
          </w:p>
        </w:tc>
      </w:tr>
    </w:tbl>
    <w:p>
      <w:pPr>
        <w:pStyle w:val="25"/>
        <w:keepNext w:val="0"/>
        <w:keepLines w:val="0"/>
        <w:pageBreakBefore w:val="0"/>
        <w:kinsoku/>
        <w:wordWrap/>
        <w:overflowPunct/>
        <w:topLinePunct w:val="0"/>
        <w:bidi w:val="0"/>
        <w:adjustRightInd/>
        <w:snapToGrid/>
        <w:spacing w:line="360" w:lineRule="auto"/>
        <w:ind w:firstLine="482" w:firstLineChars="200"/>
        <w:jc w:val="both"/>
        <w:textAlignment w:val="auto"/>
        <w:rPr>
          <w:rFonts w:hint="eastAsia" w:ascii="宋体" w:hAnsi="宋体" w:eastAsia="宋体" w:cs="宋体"/>
          <w:b w:val="0"/>
          <w:szCs w:val="21"/>
        </w:rPr>
      </w:pPr>
      <w:r>
        <w:rPr>
          <w:rFonts w:hint="eastAsia" w:ascii="宋体" w:hAnsi="宋体" w:eastAsia="宋体" w:cs="宋体"/>
          <w:szCs w:val="21"/>
        </w:rPr>
        <w:t>3、监测时间：</w:t>
      </w:r>
      <w:r>
        <w:rPr>
          <w:rFonts w:hint="eastAsia" w:ascii="宋体" w:hAnsi="宋体" w:eastAsia="宋体" w:cs="宋体"/>
          <w:b w:val="0"/>
          <w:szCs w:val="21"/>
          <w:lang w:eastAsia="zh-CN"/>
        </w:rPr>
        <w:t>每年监测</w:t>
      </w:r>
      <w:r>
        <w:rPr>
          <w:rFonts w:hint="eastAsia" w:ascii="宋体" w:hAnsi="宋体" w:eastAsia="宋体" w:cs="宋体"/>
          <w:b w:val="0"/>
          <w:szCs w:val="21"/>
          <w:lang w:val="en-US" w:eastAsia="zh-CN"/>
        </w:rPr>
        <w:t>1次</w:t>
      </w:r>
      <w:r>
        <w:rPr>
          <w:rFonts w:hint="eastAsia" w:ascii="宋体" w:hAnsi="宋体" w:eastAsia="宋体" w:cs="宋体"/>
          <w:b w:val="0"/>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1"/>
          <w:lang w:val="en-US" w:eastAsia="zh-CN"/>
        </w:rPr>
      </w:pPr>
      <w:r>
        <w:rPr>
          <w:rFonts w:hint="eastAsia" w:ascii="宋体" w:hAnsi="宋体" w:eastAsia="宋体" w:cs="宋体"/>
          <w:b/>
          <w:sz w:val="24"/>
          <w:szCs w:val="21"/>
        </w:rPr>
        <w:t>4、</w:t>
      </w:r>
      <w:r>
        <w:rPr>
          <w:rFonts w:hint="eastAsia" w:ascii="宋体" w:hAnsi="宋体" w:eastAsia="宋体" w:cs="宋体"/>
          <w:b/>
          <w:sz w:val="24"/>
          <w:szCs w:val="21"/>
          <w:lang w:eastAsia="zh-CN"/>
        </w:rPr>
        <w:t>样品采集</w:t>
      </w:r>
      <w:r>
        <w:rPr>
          <w:rFonts w:hint="eastAsia" w:ascii="宋体" w:hAnsi="宋体" w:eastAsia="宋体" w:cs="宋体"/>
          <w:sz w:val="24"/>
          <w:szCs w:val="21"/>
          <w:lang w:val="en-US" w:eastAsia="zh-CN"/>
        </w:rPr>
        <w:t>：按照HJ25.2</w:t>
      </w:r>
      <w:r>
        <w:rPr>
          <w:rFonts w:hint="default" w:ascii="宋体" w:hAnsi="宋体" w:eastAsia="宋体" w:cs="宋体"/>
          <w:sz w:val="24"/>
          <w:szCs w:val="21"/>
          <w:lang w:val="en-US" w:eastAsia="zh-CN"/>
        </w:rPr>
        <w:t>《</w:t>
      </w:r>
      <w:r>
        <w:rPr>
          <w:rFonts w:hint="eastAsia" w:ascii="宋体" w:hAnsi="宋体" w:eastAsia="宋体" w:cs="宋体"/>
          <w:sz w:val="24"/>
          <w:szCs w:val="21"/>
          <w:lang w:val="en-US" w:eastAsia="zh-CN"/>
        </w:rPr>
        <w:t>场地环境监测技术导则</w:t>
      </w:r>
      <w:r>
        <w:rPr>
          <w:rFonts w:hint="default" w:ascii="宋体" w:hAnsi="宋体" w:eastAsia="宋体" w:cs="宋体"/>
          <w:sz w:val="24"/>
          <w:szCs w:val="21"/>
          <w:lang w:val="en-US" w:eastAsia="zh-CN"/>
        </w:rPr>
        <w:t>》</w:t>
      </w:r>
      <w:r>
        <w:rPr>
          <w:rFonts w:hint="eastAsia" w:ascii="宋体" w:hAnsi="宋体" w:eastAsia="宋体" w:cs="宋体"/>
          <w:sz w:val="24"/>
          <w:szCs w:val="21"/>
          <w:lang w:val="en-US" w:eastAsia="zh-CN"/>
        </w:rPr>
        <w:t>的要求进行</w:t>
      </w:r>
    </w:p>
    <w:p>
      <w:pPr>
        <w:pStyle w:val="5"/>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1"/>
          <w:lang w:val="en-US" w:eastAsia="zh-CN"/>
        </w:rPr>
      </w:pPr>
      <w:r>
        <w:rPr>
          <w:rFonts w:hint="eastAsia" w:ascii="宋体" w:hAnsi="宋体" w:eastAsia="宋体" w:cs="宋体"/>
          <w:b/>
          <w:kern w:val="2"/>
          <w:sz w:val="24"/>
          <w:szCs w:val="21"/>
          <w:lang w:val="en-US" w:eastAsia="zh-CN" w:bidi="ar-SA"/>
        </w:rPr>
        <w:t>5、样品保存：</w:t>
      </w:r>
      <w:r>
        <w:rPr>
          <w:rFonts w:hint="eastAsia" w:ascii="宋体" w:hAnsi="宋体" w:eastAsia="宋体" w:cs="宋体"/>
          <w:sz w:val="24"/>
          <w:szCs w:val="21"/>
          <w:lang w:val="en-US" w:eastAsia="zh-CN"/>
        </w:rPr>
        <w:t>按照HJ/T166的要求进行</w:t>
      </w:r>
    </w:p>
    <w:p>
      <w:pPr>
        <w:pStyle w:val="26"/>
        <w:keepNext w:val="0"/>
        <w:keepLines w:val="0"/>
        <w:pageBreakBefore w:val="0"/>
        <w:tabs>
          <w:tab w:val="center" w:pos="4201"/>
          <w:tab w:val="right" w:leader="dot" w:pos="9298"/>
        </w:tabs>
        <w:kinsoku/>
        <w:wordWrap/>
        <w:overflowPunct/>
        <w:topLinePunct w:val="0"/>
        <w:bidi w:val="0"/>
        <w:adjustRightInd/>
        <w:snapToGrid/>
        <w:spacing w:line="360" w:lineRule="auto"/>
        <w:ind w:firstLine="482" w:firstLineChars="200"/>
        <w:textAlignment w:val="auto"/>
        <w:rPr>
          <w:rFonts w:hint="eastAsia" w:ascii="宋体" w:hAnsi="宋体" w:eastAsia="宋体" w:cs="宋体"/>
          <w:bCs/>
          <w:sz w:val="24"/>
          <w:szCs w:val="24"/>
        </w:rPr>
      </w:pPr>
      <w:r>
        <w:rPr>
          <w:rFonts w:hint="eastAsia" w:ascii="宋体" w:hAnsi="宋体" w:eastAsia="宋体" w:cs="宋体"/>
          <w:b/>
          <w:kern w:val="2"/>
          <w:sz w:val="24"/>
          <w:szCs w:val="21"/>
          <w:lang w:val="en-US" w:eastAsia="zh-CN" w:bidi="ar-SA"/>
        </w:rPr>
        <w:t>6、样品分析方法：</w:t>
      </w:r>
      <w:r>
        <w:rPr>
          <w:rFonts w:hint="eastAsia" w:ascii="宋体" w:hAnsi="宋体" w:eastAsia="宋体" w:cs="宋体"/>
          <w:sz w:val="24"/>
          <w:szCs w:val="21"/>
          <w:lang w:val="en-US" w:eastAsia="zh-CN"/>
        </w:rPr>
        <w:t>按照GB36600</w:t>
      </w:r>
      <w:r>
        <w:rPr>
          <w:rFonts w:hint="default" w:ascii="宋体" w:hAnsi="宋体" w:eastAsia="宋体" w:cs="宋体"/>
          <w:sz w:val="24"/>
          <w:szCs w:val="21"/>
          <w:lang w:val="en-US" w:eastAsia="zh-CN"/>
        </w:rPr>
        <w:t>《</w:t>
      </w:r>
      <w:r>
        <w:rPr>
          <w:rFonts w:hint="eastAsia" w:ascii="宋体" w:hAnsi="宋体" w:eastAsia="宋体" w:cs="宋体"/>
          <w:bCs/>
          <w:sz w:val="24"/>
          <w:szCs w:val="24"/>
        </w:rPr>
        <w:t>土壤环境质量建设用地土壤污染风险管控标准（试行）</w:t>
      </w:r>
      <w:r>
        <w:rPr>
          <w:rFonts w:hint="default" w:ascii="宋体" w:hAnsi="宋体" w:eastAsia="宋体" w:cs="宋体"/>
          <w:sz w:val="24"/>
          <w:szCs w:val="21"/>
          <w:lang w:val="en-US" w:eastAsia="zh-CN"/>
        </w:rPr>
        <w:t>》</w:t>
      </w:r>
      <w:r>
        <w:rPr>
          <w:rFonts w:hint="eastAsia" w:ascii="宋体" w:hAnsi="宋体" w:eastAsia="宋体" w:cs="宋体"/>
          <w:sz w:val="24"/>
          <w:szCs w:val="21"/>
          <w:lang w:val="en-US" w:eastAsia="zh-CN"/>
        </w:rPr>
        <w:t>规定方法。</w:t>
      </w:r>
      <w:r>
        <w:rPr>
          <w:rFonts w:hint="eastAsia" w:ascii="宋体" w:hAnsi="宋体" w:eastAsia="宋体" w:cs="宋体"/>
          <w:bCs/>
          <w:sz w:val="24"/>
          <w:szCs w:val="24"/>
        </w:rPr>
        <w:t>暂无国家或行业标准分析方法的监测项目，可选用行业统一分析方法或行业规范，已有地方标准的也可选用地方标准。</w:t>
      </w:r>
    </w:p>
    <w:p>
      <w:pPr>
        <w:pStyle w:val="26"/>
        <w:tabs>
          <w:tab w:val="center" w:pos="4201"/>
          <w:tab w:val="right" w:leader="dot" w:pos="9298"/>
        </w:tabs>
        <w:spacing w:line="276" w:lineRule="auto"/>
        <w:rPr>
          <w:rFonts w:hint="default" w:ascii="宋体" w:hAnsi="宋体" w:eastAsia="宋体" w:cs="宋体"/>
          <w:bCs/>
          <w:sz w:val="24"/>
          <w:szCs w:val="24"/>
          <w:lang w:val="en-US" w:eastAsia="zh-CN"/>
        </w:rPr>
      </w:pPr>
      <w:r>
        <w:rPr>
          <w:rFonts w:hint="eastAsia" w:ascii="宋体" w:hAnsi="宋体" w:eastAsia="宋体" w:cs="宋体"/>
          <w:b/>
          <w:bCs w:val="0"/>
          <w:sz w:val="24"/>
          <w:szCs w:val="24"/>
          <w:lang w:val="en-US" w:eastAsia="zh-CN"/>
        </w:rPr>
        <w:t>7、监测标准：</w:t>
      </w:r>
      <w:r>
        <w:rPr>
          <w:rFonts w:hint="eastAsia" w:ascii="宋体" w:hAnsi="宋体" w:eastAsia="宋体" w:cs="宋体"/>
          <w:bCs/>
          <w:sz w:val="24"/>
          <w:szCs w:val="24"/>
        </w:rPr>
        <w:t>GB36600</w:t>
      </w:r>
      <w:r>
        <w:rPr>
          <w:rFonts w:hint="default" w:ascii="宋体" w:hAnsi="宋体" w:eastAsia="宋体" w:cs="宋体"/>
          <w:sz w:val="24"/>
          <w:szCs w:val="21"/>
          <w:lang w:val="en-US" w:eastAsia="zh-CN"/>
        </w:rPr>
        <w:t>《</w:t>
      </w:r>
      <w:r>
        <w:rPr>
          <w:rFonts w:hint="eastAsia" w:ascii="宋体" w:hAnsi="宋体" w:eastAsia="宋体" w:cs="宋体"/>
          <w:bCs/>
          <w:sz w:val="24"/>
          <w:szCs w:val="24"/>
        </w:rPr>
        <w:t>土壤环境质量建设用地土壤污染风险管控标准（试行）</w:t>
      </w:r>
      <w:r>
        <w:rPr>
          <w:rFonts w:hint="default" w:ascii="宋体" w:hAnsi="宋体" w:eastAsia="宋体" w:cs="宋体"/>
          <w:sz w:val="24"/>
          <w:szCs w:val="21"/>
          <w:lang w:val="en-US" w:eastAsia="zh-CN"/>
        </w:rPr>
        <w:t>》</w:t>
      </w:r>
      <w:r>
        <w:rPr>
          <w:rFonts w:hint="eastAsia" w:ascii="宋体" w:hAnsi="宋体" w:eastAsia="宋体" w:cs="宋体"/>
          <w:bCs/>
          <w:sz w:val="24"/>
          <w:szCs w:val="24"/>
          <w:lang w:eastAsia="zh-CN"/>
        </w:rPr>
        <w:t>二类用地筛选值</w:t>
      </w:r>
      <w:r>
        <w:rPr>
          <w:rFonts w:hint="eastAsia" w:ascii="宋体" w:hAnsi="宋体" w:eastAsia="宋体" w:cs="宋体"/>
          <w:bCs/>
          <w:sz w:val="24"/>
          <w:szCs w:val="24"/>
          <w:lang w:val="en-US" w:eastAsia="zh-CN"/>
        </w:rPr>
        <w:t>，如其中没有标准可不附标准限值，只需与背景值对比。</w:t>
      </w:r>
    </w:p>
    <w:p>
      <w:pPr>
        <w:keepNext w:val="0"/>
        <w:keepLines w:val="0"/>
        <w:pageBreakBefore w:val="0"/>
        <w:widowControl w:val="0"/>
        <w:tabs>
          <w:tab w:val="center" w:pos="4819"/>
        </w:tabs>
        <w:kinsoku/>
        <w:wordWrap/>
        <w:overflowPunct/>
        <w:topLinePunct w:val="0"/>
        <w:autoSpaceDE/>
        <w:autoSpaceDN/>
        <w:bidi w:val="0"/>
        <w:adjustRightInd/>
        <w:snapToGrid/>
        <w:spacing w:line="360" w:lineRule="auto"/>
        <w:textAlignment w:val="auto"/>
        <w:outlineLvl w:val="0"/>
        <w:rPr>
          <w:rFonts w:hint="eastAsia" w:ascii="宋体" w:hAnsi="宋体" w:eastAsia="宋体" w:cs="宋体"/>
          <w:b/>
          <w:bCs/>
          <w:sz w:val="24"/>
          <w:szCs w:val="21"/>
          <w:lang w:val="en-US" w:eastAsia="zh-CN"/>
        </w:rPr>
      </w:pPr>
      <w:bookmarkStart w:id="51" w:name="_Toc25852"/>
      <w:bookmarkStart w:id="52" w:name="_Toc19737"/>
      <w:bookmarkStart w:id="53" w:name="_Toc2724"/>
      <w:bookmarkStart w:id="54" w:name="_Toc15839"/>
      <w:r>
        <w:rPr>
          <w:rFonts w:hint="eastAsia" w:ascii="宋体" w:hAnsi="宋体" w:eastAsia="宋体" w:cs="宋体"/>
          <w:b/>
          <w:bCs/>
          <w:sz w:val="24"/>
          <w:szCs w:val="21"/>
          <w:lang w:eastAsia="zh-CN"/>
        </w:rPr>
        <w:t>（</w:t>
      </w:r>
      <w:r>
        <w:rPr>
          <w:rFonts w:hint="eastAsia" w:ascii="宋体" w:hAnsi="宋体" w:eastAsia="宋体" w:cs="宋体"/>
          <w:b/>
          <w:bCs/>
          <w:sz w:val="24"/>
          <w:szCs w:val="21"/>
          <w:lang w:val="en-US" w:eastAsia="zh-CN"/>
        </w:rPr>
        <w:t>二</w:t>
      </w:r>
      <w:r>
        <w:rPr>
          <w:rFonts w:hint="eastAsia" w:ascii="宋体" w:hAnsi="宋体" w:eastAsia="宋体" w:cs="宋体"/>
          <w:b/>
          <w:bCs/>
          <w:sz w:val="24"/>
          <w:szCs w:val="21"/>
          <w:lang w:eastAsia="zh-CN"/>
        </w:rPr>
        <w:t>）</w:t>
      </w:r>
      <w:r>
        <w:rPr>
          <w:rFonts w:hint="eastAsia" w:ascii="宋体" w:hAnsi="宋体" w:eastAsia="宋体" w:cs="宋体"/>
          <w:b/>
          <w:bCs/>
          <w:sz w:val="24"/>
          <w:szCs w:val="21"/>
          <w:lang w:val="en-US" w:eastAsia="zh-CN"/>
        </w:rPr>
        <w:t>地下水环境质量现状监测方案</w:t>
      </w:r>
      <w:bookmarkEnd w:id="51"/>
      <w:bookmarkEnd w:id="52"/>
      <w:bookmarkEnd w:id="53"/>
      <w:bookmarkEnd w:id="54"/>
    </w:p>
    <w:p>
      <w:pPr>
        <w:snapToGrid w:val="0"/>
        <w:spacing w:line="360" w:lineRule="auto"/>
        <w:ind w:firstLine="480"/>
        <w:rPr>
          <w:rFonts w:hint="eastAsia" w:ascii="宋体" w:hAnsi="宋体" w:eastAsia="宋体" w:cs="宋体"/>
          <w:sz w:val="24"/>
          <w:szCs w:val="24"/>
        </w:rPr>
      </w:pPr>
      <w:r>
        <w:rPr>
          <w:rFonts w:hint="eastAsia" w:ascii="宋体" w:hAnsi="宋体" w:eastAsia="宋体" w:cs="宋体"/>
          <w:b/>
          <w:sz w:val="24"/>
          <w:szCs w:val="21"/>
          <w:lang w:val="en-US" w:eastAsia="zh-CN"/>
        </w:rPr>
        <w:t>1、监测项目</w:t>
      </w:r>
      <w:r>
        <w:rPr>
          <w:rFonts w:hint="eastAsia" w:ascii="宋体" w:hAnsi="宋体" w:eastAsia="宋体" w:cs="宋体"/>
          <w:szCs w:val="21"/>
          <w:lang w:val="en-US" w:eastAsia="zh-CN"/>
        </w:rPr>
        <w:t>：</w:t>
      </w:r>
      <w:r>
        <w:rPr>
          <w:rFonts w:hint="eastAsia" w:ascii="仿宋_GB2312" w:hAnsi="仿宋_GB2312" w:eastAsia="仿宋_GB2312" w:cs="仿宋_GB2312"/>
          <w:sz w:val="24"/>
          <w:szCs w:val="24"/>
          <w:lang w:val="en-US" w:eastAsia="zh-CN"/>
        </w:rPr>
        <w:t>二恶因、</w:t>
      </w:r>
      <w:r>
        <w:rPr>
          <w:rFonts w:hint="eastAsia" w:ascii="仿宋_GB2312" w:hAnsi="仿宋_GB2312" w:eastAsia="仿宋_GB2312" w:cs="仿宋_GB2312"/>
          <w:sz w:val="24"/>
          <w:szCs w:val="24"/>
        </w:rPr>
        <w:t>镉、铅、铬、铜、锌、镍、汞、砷</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锰、钴、硒、钒、锑、铊、铍、钼</w:t>
      </w:r>
    </w:p>
    <w:p>
      <w:pPr>
        <w:keepNext w:val="0"/>
        <w:keepLines w:val="0"/>
        <w:pageBreakBefore w:val="0"/>
        <w:widowControl w:val="0"/>
        <w:tabs>
          <w:tab w:val="center" w:pos="4819"/>
        </w:tabs>
        <w:kinsoku/>
        <w:wordWrap/>
        <w:overflowPunct/>
        <w:topLinePunct w:val="0"/>
        <w:autoSpaceDE/>
        <w:autoSpaceDN/>
        <w:bidi w:val="0"/>
        <w:adjustRightInd/>
        <w:snapToGrid/>
        <w:spacing w:line="360" w:lineRule="auto"/>
        <w:ind w:firstLine="482" w:firstLineChars="200"/>
        <w:textAlignment w:val="auto"/>
        <w:outlineLvl w:val="0"/>
        <w:rPr>
          <w:rFonts w:hint="eastAsia" w:ascii="宋体" w:hAnsi="宋体" w:eastAsia="宋体" w:cs="宋体"/>
          <w:b/>
          <w:bCs/>
          <w:sz w:val="24"/>
          <w:szCs w:val="21"/>
          <w:lang w:val="en-US" w:eastAsia="zh-CN"/>
        </w:rPr>
      </w:pPr>
      <w:bookmarkStart w:id="55" w:name="_Toc1862"/>
      <w:bookmarkStart w:id="56" w:name="_Toc27195"/>
      <w:bookmarkStart w:id="57" w:name="_Toc12783"/>
      <w:bookmarkStart w:id="58" w:name="_Toc27647"/>
      <w:r>
        <w:rPr>
          <w:rFonts w:hint="eastAsia" w:ascii="宋体" w:hAnsi="宋体" w:eastAsia="宋体" w:cs="宋体"/>
          <w:b/>
          <w:bCs/>
          <w:sz w:val="24"/>
          <w:szCs w:val="21"/>
          <w:lang w:val="en-US" w:eastAsia="zh-CN"/>
        </w:rPr>
        <w:t>2、监测点位：</w:t>
      </w:r>
      <w:bookmarkEnd w:id="55"/>
      <w:bookmarkEnd w:id="56"/>
      <w:bookmarkEnd w:id="57"/>
      <w:bookmarkEnd w:id="58"/>
    </w:p>
    <w:p>
      <w:pPr>
        <w:spacing w:line="360" w:lineRule="auto"/>
        <w:jc w:val="center"/>
        <w:rPr>
          <w:rFonts w:hint="eastAsia"/>
          <w:lang w:val="en-US" w:eastAsia="zh-CN"/>
        </w:rPr>
      </w:pPr>
      <w:r>
        <w:rPr>
          <w:rFonts w:hint="eastAsia" w:ascii="宋体" w:hAnsi="宋体" w:eastAsia="宋体" w:cs="宋体"/>
          <w:b/>
          <w:bCs/>
          <w:sz w:val="21"/>
          <w:szCs w:val="21"/>
        </w:rPr>
        <w:t>表</w:t>
      </w:r>
      <w:r>
        <w:rPr>
          <w:rFonts w:hint="eastAsia" w:ascii="宋体" w:hAnsi="宋体" w:cs="宋体"/>
          <w:b/>
          <w:bCs/>
          <w:sz w:val="21"/>
          <w:szCs w:val="21"/>
          <w:lang w:val="en-US" w:eastAsia="zh-CN"/>
        </w:rPr>
        <w:t>2</w:t>
      </w:r>
      <w:r>
        <w:rPr>
          <w:rFonts w:hint="eastAsia" w:ascii="宋体" w:hAnsi="宋体" w:eastAsia="宋体" w:cs="宋体"/>
          <w:b/>
          <w:bCs/>
          <w:sz w:val="21"/>
          <w:szCs w:val="21"/>
        </w:rPr>
        <w:t xml:space="preserve">  </w:t>
      </w:r>
      <w:r>
        <w:rPr>
          <w:rFonts w:hint="eastAsia" w:ascii="宋体" w:hAnsi="宋体" w:cs="宋体"/>
          <w:b/>
          <w:bCs/>
          <w:sz w:val="21"/>
          <w:szCs w:val="21"/>
          <w:lang w:eastAsia="zh-CN"/>
        </w:rPr>
        <w:t>地下水</w:t>
      </w:r>
      <w:r>
        <w:rPr>
          <w:rFonts w:hint="eastAsia" w:ascii="宋体" w:hAnsi="宋体" w:eastAsia="宋体" w:cs="宋体"/>
          <w:b/>
          <w:bCs/>
          <w:sz w:val="21"/>
          <w:szCs w:val="21"/>
        </w:rPr>
        <w:t>监测布点情况</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1"/>
        <w:gridCol w:w="2555"/>
        <w:gridCol w:w="2562"/>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rPr>
            </w:pPr>
            <w:r>
              <w:rPr>
                <w:rFonts w:hint="eastAsia" w:ascii="宋体" w:hAnsi="宋体" w:eastAsia="宋体" w:cs="宋体"/>
                <w:bCs/>
                <w:szCs w:val="21"/>
              </w:rPr>
              <w:t>点位序号</w:t>
            </w:r>
          </w:p>
        </w:tc>
        <w:tc>
          <w:tcPr>
            <w:tcW w:w="3000" w:type="pct"/>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rPr>
            </w:pPr>
            <w:r>
              <w:rPr>
                <w:rFonts w:hint="eastAsia" w:ascii="宋体" w:hAnsi="宋体" w:eastAsia="宋体" w:cs="宋体"/>
                <w:bCs/>
                <w:szCs w:val="21"/>
              </w:rPr>
              <w:t>点位和取样种类说明</w:t>
            </w:r>
          </w:p>
        </w:tc>
        <w:tc>
          <w:tcPr>
            <w:tcW w:w="116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lang w:eastAsia="zh-CN"/>
              </w:rPr>
            </w:pPr>
            <w:r>
              <w:rPr>
                <w:rFonts w:hint="eastAsia" w:ascii="宋体" w:hAnsi="宋体" w:eastAsia="宋体" w:cs="宋体"/>
                <w:bCs/>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rPr>
            </w:pPr>
            <w:r>
              <w:rPr>
                <w:rFonts w:hint="eastAsia" w:ascii="宋体" w:hAnsi="宋体" w:cs="宋体"/>
                <w:bCs/>
                <w:szCs w:val="21"/>
                <w:lang w:val="en-US" w:eastAsia="zh-CN"/>
              </w:rPr>
              <w:t>DW01</w:t>
            </w:r>
          </w:p>
        </w:tc>
        <w:tc>
          <w:tcPr>
            <w:tcW w:w="149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宋体"/>
                <w:bCs/>
                <w:szCs w:val="21"/>
                <w:lang w:val="en-US" w:eastAsia="zh-CN"/>
              </w:rPr>
            </w:pPr>
            <w:r>
              <w:rPr>
                <w:rFonts w:hint="eastAsia" w:ascii="宋体" w:hAnsi="宋体" w:cs="宋体"/>
                <w:bCs/>
                <w:szCs w:val="21"/>
                <w:lang w:eastAsia="zh-CN"/>
              </w:rPr>
              <w:t>厂区外东侧</w:t>
            </w:r>
            <w:r>
              <w:rPr>
                <w:rFonts w:hint="eastAsia" w:ascii="宋体" w:hAnsi="宋体" w:cs="宋体"/>
                <w:bCs/>
                <w:szCs w:val="21"/>
                <w:lang w:val="en-US" w:eastAsia="zh-CN"/>
              </w:rPr>
              <w:t>5m</w:t>
            </w:r>
          </w:p>
        </w:tc>
        <w:tc>
          <w:tcPr>
            <w:tcW w:w="150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lang w:eastAsia="zh-CN"/>
              </w:rPr>
            </w:pPr>
            <w:r>
              <w:rPr>
                <w:rFonts w:hint="eastAsia" w:ascii="宋体" w:hAnsi="宋体" w:cs="宋体"/>
                <w:bCs/>
                <w:szCs w:val="21"/>
                <w:lang w:val="en-US" w:eastAsia="zh-CN"/>
              </w:rPr>
              <w:t>潜水层</w:t>
            </w:r>
          </w:p>
        </w:tc>
        <w:tc>
          <w:tcPr>
            <w:tcW w:w="116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lang w:eastAsia="zh-CN"/>
              </w:rPr>
            </w:pPr>
            <w:r>
              <w:rPr>
                <w:rFonts w:hint="eastAsia" w:ascii="宋体" w:hAnsi="宋体" w:eastAsia="宋体" w:cs="宋体"/>
                <w:bCs/>
                <w:szCs w:val="21"/>
                <w:lang w:eastAsia="zh-CN"/>
              </w:rPr>
              <w:t>环境背景样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rPr>
            </w:pPr>
            <w:r>
              <w:rPr>
                <w:rFonts w:hint="eastAsia" w:ascii="宋体" w:hAnsi="宋体" w:cs="宋体"/>
                <w:bCs/>
                <w:szCs w:val="21"/>
                <w:lang w:val="en-US" w:eastAsia="zh-CN"/>
              </w:rPr>
              <w:t>DW0</w:t>
            </w:r>
            <w:r>
              <w:rPr>
                <w:rFonts w:hint="eastAsia" w:ascii="宋体" w:hAnsi="宋体" w:eastAsia="宋体" w:cs="宋体"/>
                <w:bCs/>
                <w:szCs w:val="21"/>
              </w:rPr>
              <w:t>2</w:t>
            </w:r>
          </w:p>
        </w:tc>
        <w:tc>
          <w:tcPr>
            <w:tcW w:w="149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宋体"/>
                <w:bCs/>
                <w:szCs w:val="21"/>
                <w:lang w:val="en-US" w:eastAsia="zh-CN"/>
              </w:rPr>
            </w:pPr>
            <w:r>
              <w:rPr>
                <w:rFonts w:hint="eastAsia" w:ascii="宋体" w:hAnsi="宋体" w:cs="宋体"/>
                <w:bCs/>
                <w:szCs w:val="21"/>
                <w:lang w:eastAsia="zh-CN"/>
              </w:rPr>
              <w:t>储罐区东</w:t>
            </w:r>
            <w:r>
              <w:rPr>
                <w:rFonts w:hint="eastAsia" w:ascii="宋体" w:hAnsi="宋体" w:cs="宋体"/>
                <w:bCs/>
                <w:szCs w:val="21"/>
                <w:lang w:val="en-US" w:eastAsia="zh-CN"/>
              </w:rPr>
              <w:t>3m</w:t>
            </w:r>
          </w:p>
        </w:tc>
        <w:tc>
          <w:tcPr>
            <w:tcW w:w="150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Cs/>
                <w:szCs w:val="21"/>
                <w:lang w:eastAsia="zh-CN"/>
              </w:rPr>
            </w:pPr>
            <w:r>
              <w:rPr>
                <w:rFonts w:hint="eastAsia" w:ascii="宋体" w:hAnsi="宋体" w:cs="宋体"/>
                <w:bCs/>
                <w:szCs w:val="21"/>
                <w:lang w:val="en-US" w:eastAsia="zh-CN"/>
              </w:rPr>
              <w:t>潜水层</w:t>
            </w:r>
          </w:p>
        </w:tc>
        <w:tc>
          <w:tcPr>
            <w:tcW w:w="116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宋体"/>
                <w:bCs/>
                <w:color w:val="auto"/>
                <w:szCs w:val="21"/>
                <w:lang w:val="en-US" w:eastAsia="zh-CN"/>
              </w:rPr>
            </w:pPr>
            <w:r>
              <w:rPr>
                <w:rFonts w:hint="eastAsia" w:ascii="宋体" w:hAnsi="宋体" w:cs="宋体"/>
                <w:bCs/>
                <w:color w:val="auto"/>
                <w:szCs w:val="21"/>
                <w:lang w:val="en-US" w:eastAsia="zh-CN"/>
              </w:rPr>
              <w:t>生产区监测点</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1"/>
          <w:lang w:val="en-US" w:eastAsia="zh-CN"/>
        </w:rPr>
        <w:t>3、监测时间：</w:t>
      </w:r>
      <w:r>
        <w:rPr>
          <w:rFonts w:hint="eastAsia" w:ascii="宋体" w:hAnsi="宋体" w:eastAsia="宋体" w:cs="宋体"/>
          <w:sz w:val="24"/>
          <w:szCs w:val="24"/>
          <w:lang w:val="en-US" w:eastAsia="zh-CN"/>
        </w:rPr>
        <w:t>每年监测1次。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1"/>
          <w:lang w:val="en-US" w:eastAsia="zh-CN"/>
        </w:rPr>
      </w:pPr>
      <w:r>
        <w:rPr>
          <w:rFonts w:hint="eastAsia" w:ascii="宋体" w:hAnsi="宋体" w:eastAsia="宋体" w:cs="宋体"/>
          <w:b/>
          <w:sz w:val="24"/>
          <w:szCs w:val="21"/>
        </w:rPr>
        <w:t>4、</w:t>
      </w:r>
      <w:r>
        <w:rPr>
          <w:rFonts w:hint="eastAsia" w:ascii="宋体" w:hAnsi="宋体" w:eastAsia="宋体" w:cs="宋体"/>
          <w:b/>
          <w:sz w:val="24"/>
          <w:szCs w:val="21"/>
          <w:lang w:eastAsia="zh-CN"/>
        </w:rPr>
        <w:t>样品采集</w:t>
      </w:r>
      <w:r>
        <w:rPr>
          <w:rFonts w:hint="eastAsia" w:ascii="宋体" w:hAnsi="宋体" w:eastAsia="宋体" w:cs="宋体"/>
          <w:b/>
          <w:sz w:val="24"/>
          <w:szCs w:val="21"/>
        </w:rPr>
        <w:t>：</w:t>
      </w:r>
      <w:r>
        <w:rPr>
          <w:rFonts w:hint="eastAsia" w:ascii="宋体" w:hAnsi="宋体" w:eastAsia="宋体" w:cs="宋体"/>
          <w:sz w:val="24"/>
          <w:szCs w:val="21"/>
          <w:lang w:eastAsia="zh-CN"/>
        </w:rPr>
        <w:t>按照</w:t>
      </w:r>
      <w:r>
        <w:rPr>
          <w:rFonts w:hint="eastAsia" w:ascii="宋体" w:hAnsi="宋体" w:eastAsia="宋体" w:cs="宋体"/>
          <w:sz w:val="24"/>
          <w:szCs w:val="21"/>
          <w:lang w:val="en-US" w:eastAsia="zh-CN"/>
        </w:rPr>
        <w:t>HJ16</w:t>
      </w:r>
      <w:r>
        <w:rPr>
          <w:rFonts w:hint="eastAsia" w:cs="宋体"/>
          <w:sz w:val="24"/>
          <w:szCs w:val="21"/>
          <w:lang w:val="en-US" w:eastAsia="zh-CN"/>
        </w:rPr>
        <w:t>4</w:t>
      </w:r>
      <w:r>
        <w:rPr>
          <w:rFonts w:hint="default" w:ascii="宋体" w:hAnsi="宋体" w:eastAsia="宋体" w:cs="宋体"/>
          <w:sz w:val="24"/>
          <w:szCs w:val="21"/>
          <w:lang w:val="en-US" w:eastAsia="zh-CN"/>
        </w:rPr>
        <w:t>《</w:t>
      </w:r>
      <w:r>
        <w:rPr>
          <w:rFonts w:hint="eastAsia" w:ascii="宋体" w:hAnsi="宋体" w:eastAsia="宋体" w:cs="宋体"/>
          <w:bCs/>
          <w:sz w:val="24"/>
          <w:szCs w:val="24"/>
          <w:lang w:eastAsia="zh-CN"/>
        </w:rPr>
        <w:t>地下水环境监测技术规范</w:t>
      </w:r>
      <w:r>
        <w:rPr>
          <w:rFonts w:hint="default" w:ascii="宋体" w:hAnsi="宋体" w:eastAsia="宋体" w:cs="宋体"/>
          <w:sz w:val="24"/>
          <w:szCs w:val="21"/>
          <w:lang w:val="en-US" w:eastAsia="zh-CN"/>
        </w:rPr>
        <w:t>》</w:t>
      </w:r>
      <w:r>
        <w:rPr>
          <w:rFonts w:hint="eastAsia" w:ascii="宋体" w:hAnsi="宋体" w:eastAsia="宋体" w:cs="宋体"/>
          <w:sz w:val="24"/>
          <w:szCs w:val="21"/>
          <w:lang w:val="en-US" w:eastAsia="zh-CN"/>
        </w:rPr>
        <w:t>的要求进行</w:t>
      </w:r>
    </w:p>
    <w:p>
      <w:pPr>
        <w:pStyle w:val="5"/>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1"/>
          <w:lang w:val="en-US" w:eastAsia="zh-CN"/>
        </w:rPr>
      </w:pPr>
      <w:r>
        <w:rPr>
          <w:rFonts w:hint="eastAsia" w:ascii="宋体" w:hAnsi="宋体" w:eastAsia="宋体" w:cs="宋体"/>
          <w:b/>
          <w:kern w:val="2"/>
          <w:sz w:val="24"/>
          <w:szCs w:val="21"/>
          <w:lang w:val="en-US" w:eastAsia="zh-CN" w:bidi="ar-SA"/>
        </w:rPr>
        <w:t>5、样品保存：</w:t>
      </w:r>
      <w:r>
        <w:rPr>
          <w:rFonts w:hint="eastAsia" w:ascii="宋体" w:hAnsi="宋体" w:eastAsia="宋体" w:cs="宋体"/>
          <w:sz w:val="24"/>
          <w:szCs w:val="21"/>
          <w:lang w:val="en-US" w:eastAsia="zh-CN"/>
        </w:rPr>
        <w:t>按照HJ</w:t>
      </w:r>
      <w:r>
        <w:rPr>
          <w:rFonts w:hint="eastAsia" w:cs="宋体"/>
          <w:sz w:val="24"/>
          <w:szCs w:val="21"/>
          <w:lang w:val="en-US" w:eastAsia="zh-CN"/>
        </w:rPr>
        <w:t>1</w:t>
      </w:r>
      <w:r>
        <w:rPr>
          <w:rFonts w:hint="eastAsia" w:ascii="宋体" w:hAnsi="宋体" w:eastAsia="宋体" w:cs="宋体"/>
          <w:sz w:val="24"/>
          <w:szCs w:val="21"/>
          <w:lang w:val="en-US" w:eastAsia="zh-CN"/>
        </w:rPr>
        <w:t>6</w:t>
      </w:r>
      <w:r>
        <w:rPr>
          <w:rFonts w:hint="eastAsia" w:cs="宋体"/>
          <w:sz w:val="24"/>
          <w:szCs w:val="21"/>
          <w:lang w:val="en-US" w:eastAsia="zh-CN"/>
        </w:rPr>
        <w:t>4</w:t>
      </w:r>
      <w:r>
        <w:rPr>
          <w:rFonts w:hint="default" w:ascii="宋体" w:hAnsi="宋体" w:eastAsia="宋体" w:cs="宋体"/>
          <w:sz w:val="24"/>
          <w:szCs w:val="21"/>
          <w:lang w:val="en-US" w:eastAsia="zh-CN"/>
        </w:rPr>
        <w:t>《</w:t>
      </w:r>
      <w:r>
        <w:rPr>
          <w:rFonts w:hint="eastAsia" w:ascii="宋体" w:hAnsi="宋体" w:eastAsia="宋体" w:cs="宋体"/>
          <w:bCs/>
          <w:sz w:val="24"/>
          <w:szCs w:val="24"/>
          <w:lang w:eastAsia="zh-CN"/>
        </w:rPr>
        <w:t>地下水环境监测技术规范</w:t>
      </w:r>
      <w:r>
        <w:rPr>
          <w:rFonts w:hint="default" w:ascii="宋体" w:hAnsi="宋体" w:eastAsia="宋体" w:cs="宋体"/>
          <w:sz w:val="24"/>
          <w:szCs w:val="21"/>
          <w:lang w:val="en-US" w:eastAsia="zh-CN"/>
        </w:rPr>
        <w:t>》</w:t>
      </w:r>
      <w:r>
        <w:rPr>
          <w:rFonts w:hint="eastAsia" w:ascii="宋体" w:hAnsi="宋体" w:eastAsia="宋体" w:cs="宋体"/>
          <w:sz w:val="24"/>
          <w:szCs w:val="21"/>
          <w:lang w:val="en-US" w:eastAsia="zh-CN"/>
        </w:rPr>
        <w:t>的要求进行</w:t>
      </w:r>
    </w:p>
    <w:p>
      <w:pPr>
        <w:pStyle w:val="26"/>
        <w:keepNext w:val="0"/>
        <w:keepLines w:val="0"/>
        <w:pageBreakBefore w:val="0"/>
        <w:tabs>
          <w:tab w:val="center" w:pos="4201"/>
          <w:tab w:val="right" w:leader="dot" w:pos="9298"/>
        </w:tabs>
        <w:kinsoku/>
        <w:wordWrap/>
        <w:overflowPunct/>
        <w:topLinePunct w:val="0"/>
        <w:bidi w:val="0"/>
        <w:adjustRightInd/>
        <w:snapToGrid/>
        <w:spacing w:line="360" w:lineRule="auto"/>
        <w:ind w:left="0" w:leftChars="0" w:firstLine="482" w:firstLineChars="200"/>
        <w:textAlignment w:val="auto"/>
        <w:rPr>
          <w:rFonts w:hint="eastAsia" w:ascii="宋体" w:hAnsi="宋体" w:eastAsia="宋体" w:cs="宋体"/>
          <w:bCs/>
          <w:sz w:val="24"/>
          <w:szCs w:val="24"/>
        </w:rPr>
      </w:pPr>
      <w:r>
        <w:rPr>
          <w:rFonts w:hint="eastAsia" w:ascii="宋体" w:hAnsi="宋体" w:eastAsia="宋体" w:cs="宋体"/>
          <w:b/>
          <w:kern w:val="2"/>
          <w:sz w:val="24"/>
          <w:szCs w:val="21"/>
          <w:lang w:val="en-US" w:eastAsia="zh-CN" w:bidi="ar-SA"/>
        </w:rPr>
        <w:t>6、样品分析方法：</w:t>
      </w:r>
      <w:r>
        <w:rPr>
          <w:rFonts w:hint="eastAsia" w:ascii="宋体" w:hAnsi="宋体" w:eastAsia="宋体" w:cs="宋体"/>
          <w:sz w:val="24"/>
          <w:szCs w:val="21"/>
          <w:lang w:val="en-US" w:eastAsia="zh-CN"/>
        </w:rPr>
        <w:t>按照GB/T14848</w:t>
      </w:r>
      <w:r>
        <w:rPr>
          <w:rFonts w:hint="default" w:ascii="宋体" w:hAnsi="宋体" w:eastAsia="宋体" w:cs="宋体"/>
          <w:sz w:val="24"/>
          <w:szCs w:val="21"/>
          <w:lang w:val="en-US" w:eastAsia="zh-CN"/>
        </w:rPr>
        <w:t>《</w:t>
      </w:r>
      <w:r>
        <w:rPr>
          <w:rFonts w:hint="eastAsia" w:ascii="宋体" w:hAnsi="宋体" w:eastAsia="宋体" w:cs="宋体"/>
          <w:bCs/>
          <w:sz w:val="24"/>
          <w:szCs w:val="24"/>
          <w:lang w:eastAsia="zh-CN"/>
        </w:rPr>
        <w:t>地下水质量标准</w:t>
      </w:r>
      <w:r>
        <w:rPr>
          <w:rFonts w:hint="default" w:ascii="宋体" w:hAnsi="宋体" w:eastAsia="宋体" w:cs="宋体"/>
          <w:sz w:val="24"/>
          <w:szCs w:val="21"/>
          <w:lang w:val="en-US" w:eastAsia="zh-CN"/>
        </w:rPr>
        <w:t>》</w:t>
      </w:r>
      <w:r>
        <w:rPr>
          <w:rFonts w:hint="eastAsia" w:ascii="宋体" w:hAnsi="宋体" w:eastAsia="宋体" w:cs="宋体"/>
          <w:sz w:val="24"/>
          <w:szCs w:val="21"/>
          <w:lang w:val="en-US" w:eastAsia="zh-CN"/>
        </w:rPr>
        <w:t>规定方法。</w:t>
      </w:r>
      <w:r>
        <w:rPr>
          <w:rFonts w:hint="eastAsia" w:ascii="宋体" w:hAnsi="宋体" w:eastAsia="宋体" w:cs="宋体"/>
          <w:bCs/>
          <w:sz w:val="24"/>
          <w:szCs w:val="24"/>
        </w:rPr>
        <w:t>暂无国家或行业标准分析方法的监测项目，可选用行业统一分析方法或行业规范，已有地方标准的也可选用地方标准。</w:t>
      </w:r>
    </w:p>
    <w:p>
      <w:pPr>
        <w:pStyle w:val="26"/>
        <w:keepNext w:val="0"/>
        <w:keepLines w:val="0"/>
        <w:pageBreakBefore w:val="0"/>
        <w:tabs>
          <w:tab w:val="center" w:pos="4201"/>
          <w:tab w:val="right" w:leader="dot" w:pos="9298"/>
        </w:tabs>
        <w:kinsoku/>
        <w:wordWrap/>
        <w:overflowPunct/>
        <w:topLinePunct w:val="0"/>
        <w:bidi w:val="0"/>
        <w:adjustRightInd/>
        <w:snapToGrid/>
        <w:spacing w:line="360" w:lineRule="auto"/>
        <w:ind w:left="0" w:leftChars="0" w:firstLine="482" w:firstLineChars="200"/>
        <w:textAlignment w:val="auto"/>
        <w:rPr>
          <w:rFonts w:hint="default" w:ascii="宋体" w:hAnsi="宋体" w:eastAsia="宋体" w:cs="宋体"/>
          <w:sz w:val="24"/>
          <w:szCs w:val="21"/>
          <w:lang w:val="en-US" w:eastAsia="zh-CN"/>
        </w:rPr>
      </w:pPr>
      <w:r>
        <w:rPr>
          <w:rFonts w:hint="eastAsia" w:ascii="宋体" w:hAnsi="宋体" w:eastAsia="宋体" w:cs="宋体"/>
          <w:b/>
          <w:bCs w:val="0"/>
          <w:sz w:val="24"/>
          <w:szCs w:val="24"/>
          <w:lang w:val="en-US" w:eastAsia="zh-CN"/>
        </w:rPr>
        <w:t>7、监测标准：</w:t>
      </w:r>
      <w:r>
        <w:rPr>
          <w:rFonts w:hint="default" w:ascii="宋体" w:hAnsi="宋体" w:eastAsia="宋体" w:cs="宋体"/>
          <w:sz w:val="24"/>
          <w:szCs w:val="21"/>
          <w:lang w:val="en-US" w:eastAsia="zh-CN"/>
        </w:rPr>
        <w:t>《</w:t>
      </w:r>
      <w:r>
        <w:rPr>
          <w:rFonts w:hint="eastAsia" w:ascii="宋体" w:hAnsi="宋体" w:eastAsia="宋体" w:cs="宋体"/>
          <w:bCs/>
          <w:sz w:val="24"/>
          <w:szCs w:val="24"/>
          <w:lang w:eastAsia="zh-CN"/>
        </w:rPr>
        <w:t>地下水质量标准</w:t>
      </w:r>
      <w:r>
        <w:rPr>
          <w:rFonts w:hint="default" w:ascii="宋体" w:hAnsi="宋体" w:eastAsia="宋体" w:cs="宋体"/>
          <w:sz w:val="24"/>
          <w:szCs w:val="21"/>
          <w:lang w:val="en-US" w:eastAsia="zh-CN"/>
        </w:rPr>
        <w:t>》</w:t>
      </w:r>
      <w:r>
        <w:rPr>
          <w:rFonts w:hint="eastAsia" w:ascii="宋体" w:hAnsi="宋体" w:cs="宋体"/>
          <w:b w:val="0"/>
          <w:bCs/>
          <w:sz w:val="24"/>
          <w:szCs w:val="24"/>
          <w:lang w:val="en-US" w:eastAsia="zh-CN"/>
        </w:rPr>
        <w:t>（GB/T14848</w:t>
      </w:r>
      <w:r>
        <w:rPr>
          <w:rFonts w:hint="eastAsia" w:ascii="宋体" w:hAnsi="宋体" w:eastAsia="宋体" w:cs="宋体"/>
          <w:sz w:val="24"/>
          <w:szCs w:val="21"/>
          <w:lang w:val="en-US" w:eastAsia="zh-CN"/>
        </w:rPr>
        <w:t>）如其中没有标准可不附标准限值，只需与背景值对比。</w:t>
      </w:r>
    </w:p>
    <w:p>
      <w:pPr>
        <w:pStyle w:val="26"/>
        <w:keepNext w:val="0"/>
        <w:keepLines w:val="0"/>
        <w:pageBreakBefore w:val="0"/>
        <w:tabs>
          <w:tab w:val="center" w:pos="4201"/>
          <w:tab w:val="right" w:leader="dot" w:pos="9298"/>
        </w:tabs>
        <w:kinsoku/>
        <w:wordWrap/>
        <w:overflowPunct/>
        <w:topLinePunct w:val="0"/>
        <w:bidi w:val="0"/>
        <w:adjustRightInd/>
        <w:snapToGrid/>
        <w:spacing w:line="360" w:lineRule="auto"/>
        <w:ind w:left="0" w:leftChars="0" w:firstLine="480" w:firstLineChars="200"/>
        <w:textAlignment w:val="auto"/>
        <w:rPr>
          <w:rFonts w:hint="eastAsia" w:ascii="宋体" w:hAnsi="宋体" w:eastAsia="宋体" w:cs="宋体"/>
          <w:sz w:val="24"/>
          <w:szCs w:val="21"/>
          <w:lang w:val="en-US" w:eastAsia="zh-CN"/>
        </w:rPr>
      </w:pPr>
    </w:p>
    <w:p>
      <w:pPr>
        <w:snapToGrid w:val="0"/>
        <w:spacing w:line="360" w:lineRule="auto"/>
        <w:rPr>
          <w:rFonts w:hint="eastAsia" w:ascii="宋体" w:hAnsi="宋体" w:eastAsia="宋体" w:cs="宋体"/>
          <w:b/>
          <w:bCs/>
          <w:sz w:val="24"/>
          <w:szCs w:val="21"/>
        </w:rPr>
      </w:pPr>
    </w:p>
    <w:p>
      <w:pPr>
        <w:snapToGrid w:val="0"/>
        <w:spacing w:line="360" w:lineRule="auto"/>
        <w:rPr>
          <w:rFonts w:hint="eastAsia" w:ascii="宋体" w:hAnsi="宋体" w:eastAsia="宋体" w:cs="宋体"/>
          <w:b/>
          <w:bCs/>
          <w:sz w:val="24"/>
          <w:szCs w:val="21"/>
        </w:rPr>
      </w:pPr>
    </w:p>
    <w:p>
      <w:pPr>
        <w:snapToGrid w:val="0"/>
        <w:spacing w:line="360" w:lineRule="auto"/>
        <w:rPr>
          <w:rFonts w:hint="eastAsia" w:ascii="宋体" w:hAnsi="宋体" w:eastAsia="宋体" w:cs="宋体"/>
          <w:b/>
          <w:bCs/>
          <w:sz w:val="24"/>
          <w:szCs w:val="21"/>
        </w:rPr>
      </w:pPr>
    </w:p>
    <w:p>
      <w:pPr>
        <w:snapToGrid w:val="0"/>
        <w:spacing w:line="360" w:lineRule="auto"/>
        <w:rPr>
          <w:rFonts w:hint="eastAsia" w:ascii="宋体" w:hAnsi="宋体" w:eastAsia="宋体" w:cs="宋体"/>
          <w:b/>
          <w:bCs/>
          <w:sz w:val="24"/>
          <w:szCs w:val="21"/>
        </w:rPr>
      </w:pPr>
    </w:p>
    <w:p>
      <w:pPr>
        <w:snapToGrid w:val="0"/>
        <w:spacing w:line="360" w:lineRule="auto"/>
        <w:rPr>
          <w:rFonts w:hint="eastAsia" w:ascii="宋体" w:hAnsi="宋体" w:eastAsia="宋体" w:cs="宋体"/>
          <w:bCs/>
          <w:sz w:val="24"/>
          <w:szCs w:val="21"/>
          <w:lang w:val="en-US" w:eastAsia="zh-CN"/>
        </w:rPr>
      </w:pPr>
      <w:r>
        <w:rPr>
          <w:rFonts w:hint="eastAsia" w:ascii="宋体" w:hAnsi="宋体" w:eastAsia="宋体" w:cs="宋体"/>
          <w:b/>
          <w:bCs/>
          <w:sz w:val="24"/>
          <w:szCs w:val="21"/>
        </w:rPr>
        <w:t>附图：</w:t>
      </w:r>
      <w:r>
        <w:rPr>
          <w:rFonts w:hint="eastAsia" w:ascii="宋体" w:hAnsi="宋体" w:eastAsia="宋体" w:cs="宋体"/>
          <w:bCs/>
          <w:sz w:val="24"/>
          <w:szCs w:val="21"/>
          <w:lang w:val="en-US" w:eastAsia="zh-CN"/>
        </w:rPr>
        <w:t>土壤、地下水监测点位示意图</w:t>
      </w:r>
    </w:p>
    <w:p>
      <w:pPr>
        <w:snapToGrid w:val="0"/>
        <w:spacing w:line="360" w:lineRule="auto"/>
        <w:jc w:val="right"/>
        <w:rPr>
          <w:rFonts w:hint="eastAsia" w:ascii="宋体" w:hAnsi="宋体" w:eastAsia="宋体" w:cs="宋体"/>
          <w:sz w:val="24"/>
          <w:szCs w:val="21"/>
        </w:rPr>
      </w:pPr>
    </w:p>
    <w:p>
      <w:pPr>
        <w:snapToGrid w:val="0"/>
        <w:spacing w:line="360" w:lineRule="auto"/>
        <w:jc w:val="right"/>
        <w:rPr>
          <w:rFonts w:hint="eastAsia" w:ascii="宋体" w:hAnsi="宋体" w:eastAsia="宋体" w:cs="宋体"/>
          <w:sz w:val="24"/>
          <w:szCs w:val="21"/>
        </w:rPr>
      </w:pPr>
    </w:p>
    <w:p>
      <w:pPr>
        <w:snapToGrid w:val="0"/>
        <w:spacing w:line="360" w:lineRule="auto"/>
        <w:jc w:val="right"/>
        <w:rPr>
          <w:rFonts w:hint="eastAsia" w:ascii="宋体" w:hAnsi="宋体" w:eastAsia="宋体" w:cs="宋体"/>
          <w:sz w:val="24"/>
          <w:szCs w:val="21"/>
        </w:rPr>
      </w:pPr>
    </w:p>
    <w:p>
      <w:pPr>
        <w:snapToGrid w:val="0"/>
        <w:spacing w:line="360" w:lineRule="auto"/>
        <w:jc w:val="right"/>
        <w:rPr>
          <w:rFonts w:hint="eastAsia" w:ascii="宋体" w:hAnsi="宋体" w:eastAsia="宋体" w:cs="宋体"/>
          <w:sz w:val="24"/>
          <w:szCs w:val="21"/>
        </w:rPr>
      </w:pPr>
    </w:p>
    <w:p>
      <w:pPr>
        <w:snapToGrid w:val="0"/>
        <w:spacing w:line="360" w:lineRule="auto"/>
        <w:jc w:val="right"/>
        <w:rPr>
          <w:rFonts w:hint="eastAsia"/>
          <w:lang w:eastAsia="zh-CN"/>
        </w:rPr>
        <w:sectPr>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宋体" w:hAnsi="宋体" w:eastAsia="宋体" w:cs="宋体"/>
          <w:sz w:val="24"/>
          <w:szCs w:val="21"/>
        </w:rPr>
        <w:t>202</w:t>
      </w:r>
      <w:r>
        <w:rPr>
          <w:rFonts w:hint="eastAsia" w:ascii="宋体" w:hAnsi="宋体" w:eastAsia="宋体" w:cs="宋体"/>
          <w:sz w:val="24"/>
          <w:szCs w:val="21"/>
          <w:lang w:val="en-US" w:eastAsia="zh-CN"/>
        </w:rPr>
        <w:t>1</w:t>
      </w:r>
      <w:r>
        <w:rPr>
          <w:rFonts w:hint="eastAsia" w:ascii="宋体" w:hAnsi="宋体" w:eastAsia="宋体" w:cs="宋体"/>
          <w:sz w:val="24"/>
          <w:szCs w:val="21"/>
        </w:rPr>
        <w:t>年</w:t>
      </w:r>
      <w:r>
        <w:rPr>
          <w:rFonts w:hint="eastAsia" w:ascii="宋体" w:hAnsi="宋体" w:cs="宋体"/>
          <w:sz w:val="24"/>
          <w:szCs w:val="21"/>
          <w:lang w:val="en-US" w:eastAsia="zh-CN"/>
        </w:rPr>
        <w:t>9</w:t>
      </w:r>
      <w:r>
        <w:rPr>
          <w:rFonts w:hint="eastAsia" w:ascii="宋体" w:hAnsi="宋体" w:eastAsia="宋体" w:cs="宋体"/>
          <w:sz w:val="24"/>
          <w:szCs w:val="21"/>
        </w:rPr>
        <w:t>月</w:t>
      </w:r>
      <w:r>
        <w:rPr>
          <w:rFonts w:hint="eastAsia" w:ascii="宋体" w:hAnsi="宋体" w:cs="宋体"/>
          <w:sz w:val="24"/>
          <w:szCs w:val="21"/>
          <w:lang w:val="en-US" w:eastAsia="zh-CN"/>
        </w:rPr>
        <w:t>12日</w:t>
      </w:r>
    </w:p>
    <w:p>
      <w:pPr>
        <w:bidi w:val="0"/>
        <w:jc w:val="left"/>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Style w:val="28"/>
          <w:rFonts w:hint="eastAsia"/>
          <w:lang w:val="en-US" w:eastAsia="zh-CN"/>
        </w:rPr>
        <w:drawing>
          <wp:anchor distT="0" distB="0" distL="114300" distR="114300" simplePos="0" relativeHeight="251661312" behindDoc="0" locked="0" layoutInCell="1" allowOverlap="1">
            <wp:simplePos x="0" y="0"/>
            <wp:positionH relativeFrom="column">
              <wp:posOffset>5715</wp:posOffset>
            </wp:positionH>
            <wp:positionV relativeFrom="paragraph">
              <wp:posOffset>8171815</wp:posOffset>
            </wp:positionV>
            <wp:extent cx="431165" cy="262890"/>
            <wp:effectExtent l="0" t="0" r="6985" b="3810"/>
            <wp:wrapNone/>
            <wp:docPr id="22" name="图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42"/>
                    <pic:cNvPicPr>
                      <a:picLocks noChangeAspect="1"/>
                    </pic:cNvPicPr>
                  </pic:nvPicPr>
                  <pic:blipFill>
                    <a:blip r:embed="rId22"/>
                    <a:stretch>
                      <a:fillRect/>
                    </a:stretch>
                  </pic:blipFill>
                  <pic:spPr>
                    <a:xfrm>
                      <a:off x="0" y="0"/>
                      <a:ext cx="431165" cy="262890"/>
                    </a:xfrm>
                    <a:prstGeom prst="rect">
                      <a:avLst/>
                    </a:prstGeom>
                    <a:noFill/>
                    <a:ln>
                      <a:noFill/>
                    </a:ln>
                  </pic:spPr>
                </pic:pic>
              </a:graphicData>
            </a:graphic>
          </wp:anchor>
        </w:drawing>
      </w:r>
      <w:bookmarkStart w:id="59" w:name="_Toc8924"/>
      <w:bookmarkStart w:id="60" w:name="_Toc7527"/>
      <w:r>
        <w:rPr>
          <w:rStyle w:val="28"/>
          <w:rFonts w:hint="eastAsia"/>
          <w:lang w:val="en-US" w:eastAsia="zh-CN"/>
        </w:rPr>
        <w:t>附图1 土壤/地下水监测点位示意图</w:t>
      </w:r>
      <w:bookmarkEnd w:id="59"/>
      <w:bookmarkEnd w:id="60"/>
      <w:r>
        <w:drawing>
          <wp:inline distT="0" distB="0" distL="114300" distR="114300">
            <wp:extent cx="7654290" cy="4540250"/>
            <wp:effectExtent l="0" t="0" r="3810" b="1270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a:stretch>
                      <a:fillRect/>
                    </a:stretch>
                  </pic:blipFill>
                  <pic:spPr>
                    <a:xfrm>
                      <a:off x="0" y="0"/>
                      <a:ext cx="7654290" cy="4540250"/>
                    </a:xfrm>
                    <a:prstGeom prst="rect">
                      <a:avLst/>
                    </a:prstGeom>
                    <a:noFill/>
                    <a:ln>
                      <a:noFill/>
                    </a:ln>
                  </pic:spPr>
                </pic:pic>
              </a:graphicData>
            </a:graphic>
          </wp:inline>
        </w:drawing>
      </w:r>
    </w:p>
    <w:p>
      <w:pPr>
        <w:ind w:left="0" w:leftChars="0" w:firstLine="0" w:firstLineChars="0"/>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附图</w:t>
      </w:r>
      <w:r>
        <w:rPr>
          <w:rFonts w:hint="eastAsia" w:ascii="宋体" w:hAnsi="宋体" w:cs="宋体"/>
          <w:b/>
          <w:bCs/>
          <w:color w:val="auto"/>
          <w:lang w:val="en-US" w:eastAsia="zh-CN"/>
        </w:rPr>
        <w:t>2</w:t>
      </w:r>
      <w:r>
        <w:rPr>
          <w:rFonts w:hint="eastAsia" w:ascii="宋体" w:hAnsi="宋体" w:eastAsia="宋体" w:cs="宋体"/>
          <w:b/>
          <w:bCs/>
          <w:color w:val="auto"/>
          <w:lang w:val="en-US" w:eastAsia="zh-CN"/>
        </w:rPr>
        <w:t xml:space="preserve"> </w:t>
      </w:r>
      <w:r>
        <w:rPr>
          <w:rFonts w:hint="eastAsia" w:ascii="宋体" w:hAnsi="宋体" w:cs="宋体"/>
          <w:b/>
          <w:bCs/>
          <w:color w:val="auto"/>
          <w:lang w:eastAsia="zh-CN"/>
        </w:rPr>
        <w:t>分区防渗</w:t>
      </w:r>
      <w:r>
        <w:rPr>
          <w:rFonts w:hint="eastAsia" w:ascii="宋体" w:hAnsi="宋体" w:eastAsia="宋体" w:cs="宋体"/>
          <w:b/>
          <w:bCs/>
          <w:color w:val="auto"/>
          <w:lang w:eastAsia="zh-CN"/>
        </w:rPr>
        <w:t>示意</w:t>
      </w:r>
      <w:r>
        <w:rPr>
          <w:rFonts w:hint="eastAsia" w:ascii="宋体" w:hAnsi="宋体" w:eastAsia="宋体" w:cs="宋体"/>
          <w:b/>
          <w:bCs/>
          <w:color w:val="auto"/>
          <w:lang w:val="en-US" w:eastAsia="zh-CN"/>
        </w:rPr>
        <w:t>图</w:t>
      </w:r>
    </w:p>
    <w:p>
      <w:pPr>
        <w:bidi w:val="0"/>
        <w:rPr>
          <w:rFonts w:hint="default"/>
          <w:lang w:val="en-US" w:eastAsia="zh-CN"/>
        </w:rPr>
      </w:pPr>
      <w:bookmarkStart w:id="61" w:name="_Toc24695"/>
      <w:bookmarkStart w:id="62" w:name="_Toc31623"/>
      <w:r>
        <mc:AlternateContent>
          <mc:Choice Requires="wps">
            <w:drawing>
              <wp:anchor distT="0" distB="0" distL="114300" distR="114300" simplePos="0" relativeHeight="251673600" behindDoc="0" locked="0" layoutInCell="1" allowOverlap="1">
                <wp:simplePos x="0" y="0"/>
                <wp:positionH relativeFrom="column">
                  <wp:posOffset>2287905</wp:posOffset>
                </wp:positionH>
                <wp:positionV relativeFrom="paragraph">
                  <wp:posOffset>3072765</wp:posOffset>
                </wp:positionV>
                <wp:extent cx="817245" cy="1066800"/>
                <wp:effectExtent l="0" t="0" r="0" b="1905"/>
                <wp:wrapNone/>
                <wp:docPr id="33" name="矩形 33"/>
                <wp:cNvGraphicFramePr/>
                <a:graphic xmlns:a="http://schemas.openxmlformats.org/drawingml/2006/main">
                  <a:graphicData uri="http://schemas.microsoft.com/office/word/2010/wordprocessingShape">
                    <wps:wsp>
                      <wps:cNvSpPr/>
                      <wps:spPr>
                        <a:xfrm rot="5400000">
                          <a:off x="0" y="0"/>
                          <a:ext cx="817245" cy="1066800"/>
                        </a:xfrm>
                        <a:prstGeom prst="rect">
                          <a:avLst/>
                        </a:prstGeom>
                        <a:gradFill>
                          <a:gsLst>
                            <a:gs pos="100000">
                              <a:srgbClr val="FBFB11"/>
                            </a:gs>
                            <a:gs pos="100000">
                              <a:srgbClr val="838309"/>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0.15pt;margin-top:241.95pt;height:84pt;width:64.35pt;rotation:5898240f;z-index:251673600;v-text-anchor:middle;mso-width-relative:page;mso-height-relative:page;" fillcolor="#FBFB11" filled="t" stroked="f" coordsize="21600,21600" o:gfxdata="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C2j+mv2wAAAAsBAAAPAAAAAAAAAAEAIAAAACIAAABkcnMvZG93bnJldi54&#10;bWxQSwECFAAUAAAACACHTuJAy0tXi6ICAABaBQAADgAAAAAAAAABACAAAAAqAQAAZHJzL2Uyb0Rv&#10;Yy54bWxQSwUGAAAAAAYABgBZAQAAPgYAAAAA&#10;">
                <v:fill type="gradient" on="t" color2="#838309" focus="100%" focussize="0,0" rotate="t">
                  <o:fill type="gradientUnscaled" v:ext="backwardCompatible"/>
                </v:fill>
                <v:stroke on="f" weight="1pt" miterlimit="8" joinstyle="miter"/>
                <v:imagedata o:title=""/>
                <o:lock v:ext="edit" aspectratio="f"/>
              </v:rect>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1518285</wp:posOffset>
                </wp:positionH>
                <wp:positionV relativeFrom="paragraph">
                  <wp:posOffset>6371590</wp:posOffset>
                </wp:positionV>
                <wp:extent cx="1171575" cy="419100"/>
                <wp:effectExtent l="0" t="0" r="9525" b="0"/>
                <wp:wrapNone/>
                <wp:docPr id="32" name="文本框 32"/>
                <wp:cNvGraphicFramePr/>
                <a:graphic xmlns:a="http://schemas.openxmlformats.org/drawingml/2006/main">
                  <a:graphicData uri="http://schemas.microsoft.com/office/word/2010/wordprocessingShape">
                    <wps:wsp>
                      <wps:cNvSpPr txBox="1"/>
                      <wps:spPr>
                        <a:xfrm>
                          <a:off x="0" y="0"/>
                          <a:ext cx="1171575" cy="4191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lang w:eastAsia="zh-CN"/>
                              </w:rPr>
                            </w:pPr>
                            <w:r>
                              <w:rPr>
                                <w:rFonts w:hint="eastAsia"/>
                                <w:lang w:eastAsia="zh-CN"/>
                              </w:rPr>
                              <w:t>重点防渗区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55pt;margin-top:501.7pt;height:33pt;width:92.25pt;z-index:251672576;mso-width-relative:page;mso-height-relative:page;" fillcolor="#FFFFFF [3201]" filled="t" stroked="f" coordsize="21600,21600" o:gfxdata="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GP40pNcAAAANAQAA&#10;DwAAAAAAAAABACAAAAAiAAAAZHJzL2Rvd25yZXYueG1sUEsBAhQAFAAAAAgAh07iQI10Ws5TAgAA&#10;kQQAAA4AAAAAAAAAAQAgAAAAJgEAAGRycy9lMm9Eb2MueG1sUEsFBgAAAAAGAAYAWQEAAOsFAAAA&#10;AA==&#10;">
                <v:fill on="t" focussize="0,0"/>
                <v:stroke on="f" weight="0.5pt"/>
                <v:imagedata o:title=""/>
                <o:lock v:ext="edit" aspectratio="f"/>
                <v:textbox>
                  <w:txbxContent>
                    <w:p>
                      <w:pPr>
                        <w:ind w:left="0" w:leftChars="0" w:firstLine="0" w:firstLineChars="0"/>
                        <w:rPr>
                          <w:rFonts w:hint="eastAsia" w:eastAsia="宋体"/>
                          <w:lang w:eastAsia="zh-CN"/>
                        </w:rPr>
                      </w:pPr>
                      <w:r>
                        <w:rPr>
                          <w:rFonts w:hint="eastAsia"/>
                          <w:lang w:eastAsia="zh-CN"/>
                        </w:rPr>
                        <w:t>重点防渗区</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852805</wp:posOffset>
                </wp:positionH>
                <wp:positionV relativeFrom="paragraph">
                  <wp:posOffset>6229350</wp:posOffset>
                </wp:positionV>
                <wp:extent cx="342900" cy="676910"/>
                <wp:effectExtent l="6350" t="6350" r="21590" b="12700"/>
                <wp:wrapNone/>
                <wp:docPr id="31" name="矩形 31"/>
                <wp:cNvGraphicFramePr/>
                <a:graphic xmlns:a="http://schemas.openxmlformats.org/drawingml/2006/main">
                  <a:graphicData uri="http://schemas.microsoft.com/office/word/2010/wordprocessingShape">
                    <wps:wsp>
                      <wps:cNvSpPr/>
                      <wps:spPr>
                        <a:xfrm rot="5400000">
                          <a:off x="0" y="0"/>
                          <a:ext cx="342900" cy="676910"/>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15pt;margin-top:490.5pt;height:53.3pt;width:27pt;rotation:5898240f;z-index:251671552;v-text-anchor:middle;mso-width-relative:page;mso-height-relative:page;" fillcolor="#FF0000" filled="t" stroked="t" coordsize="21600,21600" o:gfxdata="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E/RCc2AAAAAwBAAAPAAAAAAAAAAEAIAAAACIAAABkcnMvZG93&#10;bnJldi54bWxQSwECFAAUAAAACACHTuJA4fyx+3ICAAADBQAADgAAAAAAAAABACAAAAAnAQAAZHJz&#10;L2Uyb0RvYy54bWxQSwUGAAAAAAYABgBZAQAACwYAAAAA&#10;">
                <v:fill on="t" focussize="0,0"/>
                <v:stroke weight="1pt" color="#FF0000 [3204]" miterlimit="8" joinstyle="miter"/>
                <v:imagedata o:title=""/>
                <o:lock v:ext="edit" aspectratio="f"/>
              </v:rect>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1508760</wp:posOffset>
                </wp:positionH>
                <wp:positionV relativeFrom="paragraph">
                  <wp:posOffset>5781040</wp:posOffset>
                </wp:positionV>
                <wp:extent cx="1171575" cy="419100"/>
                <wp:effectExtent l="0" t="0" r="9525" b="0"/>
                <wp:wrapNone/>
                <wp:docPr id="30" name="文本框 30"/>
                <wp:cNvGraphicFramePr/>
                <a:graphic xmlns:a="http://schemas.openxmlformats.org/drawingml/2006/main">
                  <a:graphicData uri="http://schemas.microsoft.com/office/word/2010/wordprocessingShape">
                    <wps:wsp>
                      <wps:cNvSpPr txBox="1"/>
                      <wps:spPr>
                        <a:xfrm>
                          <a:off x="3204210" y="6964045"/>
                          <a:ext cx="1171575" cy="4191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lang w:eastAsia="zh-CN"/>
                              </w:rPr>
                            </w:pPr>
                            <w:r>
                              <w:rPr>
                                <w:rFonts w:hint="eastAsia"/>
                                <w:lang w:eastAsia="zh-CN"/>
                              </w:rPr>
                              <w:t>一般防渗区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8pt;margin-top:455.2pt;height:33pt;width:92.25pt;z-index:251670528;mso-width-relative:page;mso-height-relative:page;" fillcolor="#FFFFFF [3201]" filled="t" stroked="f" coordsize="21600,21600" o:gfxdata="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ql&#10;0TjWAAAACwEAAA8AAAAAAAAAAQAgAAAAIgAAAGRycy9kb3ducmV2LnhtbFBLAQIUABQAAAAIAIdO&#10;4kBEW+gGXgIAAJ0EAAAOAAAAAAAAAAEAIAAAACUBAABkcnMvZTJvRG9jLnhtbFBLBQYAAAAABgAG&#10;AFkBAAD1BQAAAAA=&#10;">
                <v:fill on="t" focussize="0,0"/>
                <v:stroke on="f" weight="0.5pt"/>
                <v:imagedata o:title=""/>
                <o:lock v:ext="edit" aspectratio="f"/>
                <v:textbox>
                  <w:txbxContent>
                    <w:p>
                      <w:pPr>
                        <w:ind w:left="0" w:leftChars="0" w:firstLine="0" w:firstLineChars="0"/>
                        <w:rPr>
                          <w:rFonts w:hint="eastAsia" w:eastAsia="宋体"/>
                          <w:lang w:eastAsia="zh-CN"/>
                        </w:rPr>
                      </w:pPr>
                      <w:r>
                        <w:rPr>
                          <w:rFonts w:hint="eastAsia"/>
                          <w:lang w:eastAsia="zh-CN"/>
                        </w:rPr>
                        <w:t>一般防渗区</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835025</wp:posOffset>
                </wp:positionH>
                <wp:positionV relativeFrom="paragraph">
                  <wp:posOffset>5648960</wp:posOffset>
                </wp:positionV>
                <wp:extent cx="379730" cy="676910"/>
                <wp:effectExtent l="0" t="0" r="8890" b="1270"/>
                <wp:wrapNone/>
                <wp:docPr id="29" name="矩形 29"/>
                <wp:cNvGraphicFramePr/>
                <a:graphic xmlns:a="http://schemas.openxmlformats.org/drawingml/2006/main">
                  <a:graphicData uri="http://schemas.microsoft.com/office/word/2010/wordprocessingShape">
                    <wps:wsp>
                      <wps:cNvSpPr/>
                      <wps:spPr>
                        <a:xfrm rot="5400000">
                          <a:off x="0" y="0"/>
                          <a:ext cx="379730" cy="676910"/>
                        </a:xfrm>
                        <a:prstGeom prst="rect">
                          <a:avLst/>
                        </a:prstGeom>
                        <a:gradFill>
                          <a:gsLst>
                            <a:gs pos="100000">
                              <a:srgbClr val="FBFB11"/>
                            </a:gs>
                            <a:gs pos="100000">
                              <a:srgbClr val="838309"/>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5.75pt;margin-top:444.8pt;height:53.3pt;width:29.9pt;rotation:5898240f;z-index:251669504;v-text-anchor:middle;mso-width-relative:page;mso-height-relative:page;" fillcolor="#FBFB11" filled="t" stroked="f" coordsize="21600,21600" o:gfxdata="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IufvCPaAAAACwEAAA8AAAAAAAAAAQAgAAAAIgAAAGRycy9kb3ducmV2Lnht&#10;bFBLAQIUABQAAAAIAIdO4kC6+qxRogIAAFkFAAAOAAAAAAAAAAEAIAAAACkBAABkcnMvZTJvRG9j&#10;LnhtbFBLBQYAAAAABgAGAFkBAAA9BgAAAAA=&#10;">
                <v:fill type="gradient" on="t" color2="#838309" focus="100%" focussize="0,0" rotate="t">
                  <o:fill type="gradientUnscaled" v:ext="backwardCompatible"/>
                </v:fill>
                <v:stroke on="f" weight="1pt" miterlimit="8" joinstyle="miter"/>
                <v:imagedata o:title=""/>
                <o:lock v:ext="edit" aspectratio="f"/>
              </v:rect>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4215130</wp:posOffset>
                </wp:positionH>
                <wp:positionV relativeFrom="paragraph">
                  <wp:posOffset>5133975</wp:posOffset>
                </wp:positionV>
                <wp:extent cx="1741805" cy="1562100"/>
                <wp:effectExtent l="0" t="0" r="0" b="10795"/>
                <wp:wrapNone/>
                <wp:docPr id="28" name="矩形 28"/>
                <wp:cNvGraphicFramePr/>
                <a:graphic xmlns:a="http://schemas.openxmlformats.org/drawingml/2006/main">
                  <a:graphicData uri="http://schemas.microsoft.com/office/word/2010/wordprocessingShape">
                    <wps:wsp>
                      <wps:cNvSpPr/>
                      <wps:spPr>
                        <a:xfrm rot="5400000">
                          <a:off x="0" y="0"/>
                          <a:ext cx="1741805" cy="1562100"/>
                        </a:xfrm>
                        <a:prstGeom prst="rect">
                          <a:avLst/>
                        </a:prstGeom>
                        <a:gradFill>
                          <a:gsLst>
                            <a:gs pos="100000">
                              <a:srgbClr val="FBFB11"/>
                            </a:gs>
                            <a:gs pos="100000">
                              <a:srgbClr val="838309"/>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1.9pt;margin-top:404.25pt;height:123pt;width:137.15pt;rotation:5898240f;z-index:251668480;v-text-anchor:middle;mso-width-relative:page;mso-height-relative:page;" fillcolor="#FBFB11" filled="t" stroked="f" coordsize="21600,21600" o:gfxdata="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upfnW9sAAAAMAQAADwAAAAAAAAABACAAAAAiAAAAZHJzL2Rvd25yZXYu&#10;eG1sUEsBAhQAFAAAAAgAh07iQG43zb+jAgAAWwUAAA4AAAAAAAAAAQAgAAAAKgEAAGRycy9lMm9E&#10;b2MueG1sUEsFBgAAAAAGAAYAWQEAAD8GAAAAAA==&#10;">
                <v:fill type="gradient" on="t" color2="#838309" focus="100%" focussize="0,0" rotate="t">
                  <o:fill type="gradientUnscaled" v:ext="backwardCompatible"/>
                </v:fill>
                <v:stroke on="f" weight="1pt" miterlimit="8" joinstyle="miter"/>
                <v:imagedata o:title=""/>
                <o:lock v:ext="edit" aspectratio="f"/>
              </v:rect>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3781425</wp:posOffset>
                </wp:positionH>
                <wp:positionV relativeFrom="paragraph">
                  <wp:posOffset>3615055</wp:posOffset>
                </wp:positionV>
                <wp:extent cx="1161415" cy="1562100"/>
                <wp:effectExtent l="6350" t="6350" r="12700" b="13335"/>
                <wp:wrapNone/>
                <wp:docPr id="27" name="矩形 27"/>
                <wp:cNvGraphicFramePr/>
                <a:graphic xmlns:a="http://schemas.openxmlformats.org/drawingml/2006/main">
                  <a:graphicData uri="http://schemas.microsoft.com/office/word/2010/wordprocessingShape">
                    <wps:wsp>
                      <wps:cNvSpPr/>
                      <wps:spPr>
                        <a:xfrm rot="5400000">
                          <a:off x="0" y="0"/>
                          <a:ext cx="1161415" cy="1562100"/>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7.75pt;margin-top:284.65pt;height:123pt;width:91.45pt;rotation:5898240f;z-index:251667456;v-text-anchor:middle;mso-width-relative:page;mso-height-relative:page;" fillcolor="#FF0000" filled="t" stroked="t" coordsize="21600,21600" o:gfxdata="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5bAqz2wAAAAsBAAAPAAAAAAAAAAEAIAAAACIAAABkcnMv&#10;ZG93bnJldi54bWxQSwECFAAUAAAACACHTuJADJI9JHICAAAFBQAADgAAAAAAAAABACAAAAAqAQAA&#10;ZHJzL2Uyb0RvYy54bWxQSwUGAAAAAAYABgBZAQAADgYAAAAA&#10;">
                <v:fill on="t" focussize="0,0"/>
                <v:stroke weight="1pt" color="#FF0000 [3204]" miterlimit="8" joinstyle="miter"/>
                <v:imagedata o:title=""/>
                <o:lock v:ext="edit" aspectratio="f"/>
              </v:rect>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3456940</wp:posOffset>
                </wp:positionH>
                <wp:positionV relativeFrom="paragraph">
                  <wp:posOffset>671195</wp:posOffset>
                </wp:positionV>
                <wp:extent cx="713740" cy="2124075"/>
                <wp:effectExtent l="6350" t="6350" r="22225" b="22860"/>
                <wp:wrapNone/>
                <wp:docPr id="26" name="矩形 26"/>
                <wp:cNvGraphicFramePr/>
                <a:graphic xmlns:a="http://schemas.openxmlformats.org/drawingml/2006/main">
                  <a:graphicData uri="http://schemas.microsoft.com/office/word/2010/wordprocessingShape">
                    <wps:wsp>
                      <wps:cNvSpPr/>
                      <wps:spPr>
                        <a:xfrm rot="5400000">
                          <a:off x="0" y="0"/>
                          <a:ext cx="713740" cy="2124075"/>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2.2pt;margin-top:52.85pt;height:167.25pt;width:56.2pt;rotation:5898240f;z-index:251666432;v-text-anchor:middle;mso-width-relative:page;mso-height-relative:page;" fillcolor="#FF0000" filled="t" stroked="t" coordsize="21600,21600" o:gfxdata="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yrPKDZAAAACwEAAA8AAAAAAAAAAQAgAAAAIgAAAGRycy9k&#10;b3ducmV2LnhtbFBLAQIUABQAAAAIAIdO4kCe/J65cwIAAAQFAAAOAAAAAAAAAAEAIAAAACgBAABk&#10;cnMvZTJvRG9jLnhtbFBLBQYAAAAABgAGAFkBAAANBgAAAAA=&#10;">
                <v:fill on="t" focussize="0,0"/>
                <v:stroke weight="1pt" color="#FF0000 [3204]" miterlimit="8" joinstyle="miter"/>
                <v:imagedata o:title=""/>
                <o:lock v:ext="edit" aspectratio="f"/>
              </v:rect>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4918710</wp:posOffset>
                </wp:positionH>
                <wp:positionV relativeFrom="paragraph">
                  <wp:posOffset>1237615</wp:posOffset>
                </wp:positionV>
                <wp:extent cx="713740" cy="2362200"/>
                <wp:effectExtent l="6350" t="6350" r="22860" b="12700"/>
                <wp:wrapNone/>
                <wp:docPr id="25" name="矩形 25"/>
                <wp:cNvGraphicFramePr/>
                <a:graphic xmlns:a="http://schemas.openxmlformats.org/drawingml/2006/main">
                  <a:graphicData uri="http://schemas.microsoft.com/office/word/2010/wordprocessingShape">
                    <wps:wsp>
                      <wps:cNvSpPr/>
                      <wps:spPr>
                        <a:xfrm>
                          <a:off x="0" y="0"/>
                          <a:ext cx="713740" cy="2362200"/>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7.3pt;margin-top:97.45pt;height:186pt;width:56.2pt;z-index:251665408;v-text-anchor:middle;mso-width-relative:page;mso-height-relative:page;" fillcolor="#FF0000" filled="t" stroked="t" coordsize="21600,21600" o:gfxdata="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eb5iztgAAAALAQAADwAAAAAAAAABACAAAAAiAAAAZHJzL2Rvd25yZXYu&#10;eG1sUEsBAhQAFAAAAAgAh07iQN7aoqhtAgAA9gQAAA4AAAAAAAAAAQAgAAAAJwEAAGRycy9lMm9E&#10;b2MueG1sUEsFBgAAAAAGAAYAWQEAAAYGAAAAAA==&#10;">
                <v:fill on="t" focussize="0,0"/>
                <v:stroke weight="1pt" color="#FF0000 [3204]" miterlimit="8" joinstyle="miter"/>
                <v:imagedata o:title=""/>
                <o:lock v:ext="edit" aspectratio="f"/>
              </v:rect>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1985010</wp:posOffset>
                </wp:positionH>
                <wp:positionV relativeFrom="paragraph">
                  <wp:posOffset>580390</wp:posOffset>
                </wp:positionV>
                <wp:extent cx="3609975" cy="572135"/>
                <wp:effectExtent l="6350" t="6350" r="22225" b="12065"/>
                <wp:wrapNone/>
                <wp:docPr id="24" name="矩形 24"/>
                <wp:cNvGraphicFramePr/>
                <a:graphic xmlns:a="http://schemas.openxmlformats.org/drawingml/2006/main">
                  <a:graphicData uri="http://schemas.microsoft.com/office/word/2010/wordprocessingShape">
                    <wps:wsp>
                      <wps:cNvSpPr/>
                      <wps:spPr>
                        <a:xfrm>
                          <a:off x="0" y="0"/>
                          <a:ext cx="3609975" cy="572135"/>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6.3pt;margin-top:45.7pt;height:45.05pt;width:284.25pt;z-index:251664384;v-text-anchor:middle;mso-width-relative:page;mso-height-relative:page;" fillcolor="#FF0000" filled="t" stroked="t" coordsize="21600,21600" o:gfxdata="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GvrIkrXAAAACgEAAA8AAAAAAAAAAQAgAAAAIgAAAGRycy9kb3ducmV2Lnht&#10;bFBLAQIUABQAAAAIAIdO4kBXjpEDbAIAAPYEAAAOAAAAAAAAAAEAIAAAACYBAABkcnMvZTJvRG9j&#10;LnhtbFBLBQYAAAAABgAGAFkBAAAEBgAAAAA=&#10;">
                <v:fill on="t" focussize="0,0"/>
                <v:stroke weight="1pt" color="#FF0000 [3204]" miterlimit="8" joinstyle="miter"/>
                <v:imagedata o:title=""/>
                <o:lock v:ext="edit" aspectratio="f"/>
              </v:rect>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661035</wp:posOffset>
                </wp:positionH>
                <wp:positionV relativeFrom="paragraph">
                  <wp:posOffset>2409190</wp:posOffset>
                </wp:positionV>
                <wp:extent cx="1076325" cy="2437765"/>
                <wp:effectExtent l="62865" t="26670" r="80010" b="31115"/>
                <wp:wrapNone/>
                <wp:docPr id="19" name="矩形 19"/>
                <wp:cNvGraphicFramePr/>
                <a:graphic xmlns:a="http://schemas.openxmlformats.org/drawingml/2006/main">
                  <a:graphicData uri="http://schemas.microsoft.com/office/word/2010/wordprocessingShape">
                    <wps:wsp>
                      <wps:cNvSpPr/>
                      <wps:spPr>
                        <a:xfrm rot="180000">
                          <a:off x="0" y="0"/>
                          <a:ext cx="1076325" cy="2437765"/>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2.05pt;margin-top:189.7pt;height:191.95pt;width:84.75pt;rotation:196608f;z-index:251663360;v-text-anchor:middle;mso-width-relative:page;mso-height-relative:page;" fillcolor="#FFFFFF [3201]" filled="t" stroked="f" coordsize="21600,21600" o:gfxdata="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EXK4bLZAAAACwEAAA8AAAAAAAAAAQAgAAAAIgAAAGRycy9k&#10;b3ducmV2LnhtbFBLAQIUABQAAAAIAIdO4kCiVw7LcwIAANsEAAAOAAAAAAAAAAEAIAAAACgBAABk&#10;cnMvZTJvRG9jLnhtbFBLBQYAAAAABgAGAFkBAAANBgAAAAA=&#10;">
                <v:fill on="t" focussize="0,0"/>
                <v:stroke on="f" weight="1pt" miterlimit="8" joinstyle="miter"/>
                <v:imagedata o:title=""/>
                <o:lock v:ext="edit" aspectratio="f"/>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775335</wp:posOffset>
                </wp:positionH>
                <wp:positionV relativeFrom="paragraph">
                  <wp:posOffset>904240</wp:posOffset>
                </wp:positionV>
                <wp:extent cx="1047750" cy="1266825"/>
                <wp:effectExtent l="6350" t="6350" r="12700" b="22225"/>
                <wp:wrapNone/>
                <wp:docPr id="13" name="矩形 13"/>
                <wp:cNvGraphicFramePr/>
                <a:graphic xmlns:a="http://schemas.openxmlformats.org/drawingml/2006/main">
                  <a:graphicData uri="http://schemas.microsoft.com/office/word/2010/wordprocessingShape">
                    <wps:wsp>
                      <wps:cNvSpPr/>
                      <wps:spPr>
                        <a:xfrm>
                          <a:off x="1918335" y="2115820"/>
                          <a:ext cx="1047750" cy="1266825"/>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05pt;margin-top:71.2pt;height:99.75pt;width:82.5pt;z-index:251662336;v-text-anchor:middle;mso-width-relative:page;mso-height-relative:page;" fillcolor="#FF0000" filled="t" stroked="t" coordsize="21600,21600" o:gfxdata="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FPmqm9gAAAALAQAADwAAAAAAAAABACAAAAAiAAAA&#10;ZHJzL2Rvd25yZXYueG1sUEsBAhQAFAAAAAgAh07iQBymuht5AgAAAwUAAA4AAAAAAAAAAQAgAAAA&#10;JwEAAGRycy9lMm9Eb2MueG1sUEsFBgAAAAAGAAYAWQEAABIGAAAAAA==&#10;">
                <v:fill on="t" focussize="0,0"/>
                <v:stroke weight="1pt" color="#FF0000 [3204]" miterlimit="8" joinstyle="miter"/>
                <v:imagedata o:title=""/>
                <o:lock v:ext="edit" aspectratio="f"/>
              </v:rect>
            </w:pict>
          </mc:Fallback>
        </mc:AlternateContent>
      </w:r>
      <w:r>
        <w:drawing>
          <wp:inline distT="0" distB="0" distL="114300" distR="114300">
            <wp:extent cx="5553075" cy="7335520"/>
            <wp:effectExtent l="0" t="0" r="9525" b="1778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5"/>
                    <a:stretch>
                      <a:fillRect/>
                    </a:stretch>
                  </pic:blipFill>
                  <pic:spPr>
                    <a:xfrm>
                      <a:off x="0" y="0"/>
                      <a:ext cx="5553075" cy="7335520"/>
                    </a:xfrm>
                    <a:prstGeom prst="rect">
                      <a:avLst/>
                    </a:prstGeom>
                    <a:noFill/>
                    <a:ln>
                      <a:noFill/>
                    </a:ln>
                  </pic:spPr>
                </pic:pic>
              </a:graphicData>
            </a:graphic>
          </wp:inline>
        </w:drawing>
      </w:r>
      <w:bookmarkEnd w:id="61"/>
      <w:bookmarkEnd w:id="62"/>
    </w:p>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wyiw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15fUW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qsMos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166592"/>
    <w:multiLevelType w:val="singleLevel"/>
    <w:tmpl w:val="B2166592"/>
    <w:lvl w:ilvl="0" w:tentative="0">
      <w:start w:val="1"/>
      <w:numFmt w:val="decimal"/>
      <w:suff w:val="nothing"/>
      <w:lvlText w:val="%1、"/>
      <w:lvlJc w:val="left"/>
    </w:lvl>
  </w:abstractNum>
  <w:abstractNum w:abstractNumId="1">
    <w:nsid w:val="06A10ED7"/>
    <w:multiLevelType w:val="multilevel"/>
    <w:tmpl w:val="06A10ED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E7B55F4"/>
    <w:multiLevelType w:val="singleLevel"/>
    <w:tmpl w:val="1E7B55F4"/>
    <w:lvl w:ilvl="0" w:tentative="0">
      <w:start w:val="2"/>
      <w:numFmt w:val="decimal"/>
      <w:lvlText w:val="%1."/>
      <w:lvlJc w:val="left"/>
      <w:pPr>
        <w:tabs>
          <w:tab w:val="left" w:pos="312"/>
        </w:tabs>
      </w:pPr>
    </w:lvl>
  </w:abstractNum>
  <w:abstractNum w:abstractNumId="3">
    <w:nsid w:val="4802BECB"/>
    <w:multiLevelType w:val="multilevel"/>
    <w:tmpl w:val="4802BECB"/>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4">
    <w:nsid w:val="55865423"/>
    <w:multiLevelType w:val="singleLevel"/>
    <w:tmpl w:val="55865423"/>
    <w:lvl w:ilvl="0" w:tentative="0">
      <w:start w:val="1"/>
      <w:numFmt w:val="decimal"/>
      <w:lvlText w:val="%1."/>
      <w:lvlJc w:val="left"/>
      <w:pPr>
        <w:tabs>
          <w:tab w:val="left" w:pos="312"/>
        </w:tabs>
      </w:pPr>
    </w:lvl>
  </w:abstractNum>
  <w:abstractNum w:abstractNumId="5">
    <w:nsid w:val="612A54AA"/>
    <w:multiLevelType w:val="singleLevel"/>
    <w:tmpl w:val="612A54AA"/>
    <w:lvl w:ilvl="0" w:tentative="0">
      <w:start w:val="1"/>
      <w:numFmt w:val="decimal"/>
      <w:lvlText w:val="%1."/>
      <w:lvlJc w:val="left"/>
      <w:pPr>
        <w:ind w:left="425" w:leftChars="0" w:hanging="425" w:firstLineChars="0"/>
      </w:pPr>
      <w:rPr>
        <w:rFonts w:hint="default"/>
      </w:rPr>
    </w:lvl>
  </w:abstractNum>
  <w:abstractNum w:abstractNumId="6">
    <w:nsid w:val="62D552A6"/>
    <w:multiLevelType w:val="multilevel"/>
    <w:tmpl w:val="62D552A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67E698B6"/>
    <w:multiLevelType w:val="multilevel"/>
    <w:tmpl w:val="67E698B6"/>
    <w:lvl w:ilvl="0" w:tentative="0">
      <w:start w:val="1"/>
      <w:numFmt w:val="decimal"/>
      <w:pStyle w:val="3"/>
      <w:lvlText w:val="第%1章 "/>
      <w:lvlJc w:val="center"/>
      <w:pPr>
        <w:ind w:left="1135" w:hanging="284"/>
      </w:pPr>
      <w:rPr>
        <w:rFonts w:hint="default" w:ascii="Times New Roman" w:hAnsi="Times New Roman" w:eastAsia="宋体"/>
        <w:b/>
        <w:i w:val="0"/>
        <w:sz w:val="32"/>
      </w:rPr>
    </w:lvl>
    <w:lvl w:ilvl="1" w:tentative="0">
      <w:start w:val="1"/>
      <w:numFmt w:val="decimal"/>
      <w:lvlText w:val="%1.%2 "/>
      <w:lvlJc w:val="left"/>
      <w:pPr>
        <w:ind w:left="284" w:hanging="284"/>
      </w:pPr>
      <w:rPr>
        <w:rFonts w:hint="default" w:ascii="Times New Roman" w:hAnsi="Times New Roman" w:eastAsia="宋体"/>
        <w:b/>
        <w:i w:val="0"/>
        <w:sz w:val="30"/>
      </w:rPr>
    </w:lvl>
    <w:lvl w:ilvl="2" w:tentative="0">
      <w:start w:val="1"/>
      <w:numFmt w:val="decimal"/>
      <w:lvlText w:val="%1.%2.%3 "/>
      <w:lvlJc w:val="left"/>
      <w:pPr>
        <w:ind w:left="710" w:hanging="284"/>
      </w:pPr>
      <w:rPr>
        <w:rFonts w:hint="default" w:ascii="Times New Roman" w:hAnsi="Times New Roman" w:eastAsia="宋体"/>
        <w:b/>
        <w:i w:val="0"/>
        <w:sz w:val="28"/>
      </w:rPr>
    </w:lvl>
    <w:lvl w:ilvl="3" w:tentative="0">
      <w:start w:val="1"/>
      <w:numFmt w:val="decimal"/>
      <w:lvlText w:val="%1.%2.%3.%4 "/>
      <w:lvlJc w:val="left"/>
      <w:pPr>
        <w:ind w:left="284" w:hanging="284"/>
      </w:pPr>
      <w:rPr>
        <w:rFonts w:hint="default" w:ascii="Times New Roman" w:hAnsi="Times New Roman" w:eastAsia="宋体"/>
        <w:sz w:val="24"/>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
    <w:nsid w:val="6CDE5906"/>
    <w:multiLevelType w:val="multilevel"/>
    <w:tmpl w:val="6CDE5906"/>
    <w:lvl w:ilvl="0" w:tentative="0">
      <w:start w:val="1"/>
      <w:numFmt w:val="bullet"/>
      <w:lvlText w:val=""/>
      <w:lvlJc w:val="left"/>
      <w:pPr>
        <w:ind w:left="360" w:hanging="360"/>
      </w:pPr>
      <w:rPr>
        <w:rFonts w:hint="default" w:ascii="Wingdings" w:hAnsi="Wingdings"/>
        <w:color w:val="auto"/>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6DA739B3"/>
    <w:multiLevelType w:val="singleLevel"/>
    <w:tmpl w:val="6DA739B3"/>
    <w:lvl w:ilvl="0" w:tentative="0">
      <w:start w:val="2"/>
      <w:numFmt w:val="decimal"/>
      <w:lvlText w:val="%1."/>
      <w:lvlJc w:val="left"/>
      <w:pPr>
        <w:tabs>
          <w:tab w:val="left" w:pos="312"/>
        </w:tabs>
      </w:pPr>
    </w:lvl>
  </w:abstractNum>
  <w:num w:numId="1">
    <w:abstractNumId w:val="7"/>
  </w:num>
  <w:num w:numId="2">
    <w:abstractNumId w:val="3"/>
  </w:num>
  <w:num w:numId="3">
    <w:abstractNumId w:val="0"/>
  </w:num>
  <w:num w:numId="4">
    <w:abstractNumId w:val="5"/>
  </w:num>
  <w:num w:numId="5">
    <w:abstractNumId w:val="2"/>
  </w:num>
  <w:num w:numId="6">
    <w:abstractNumId w:val="9"/>
  </w:num>
  <w:num w:numId="7">
    <w:abstractNumId w:val="6"/>
  </w:num>
  <w:num w:numId="8">
    <w:abstractNumId w:val="1"/>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9B4CC2"/>
    <w:rsid w:val="07C52596"/>
    <w:rsid w:val="0BF501A3"/>
    <w:rsid w:val="0D500398"/>
    <w:rsid w:val="0F79347A"/>
    <w:rsid w:val="13607C00"/>
    <w:rsid w:val="139B4CC2"/>
    <w:rsid w:val="13FF1261"/>
    <w:rsid w:val="16A23921"/>
    <w:rsid w:val="189F7DFA"/>
    <w:rsid w:val="18E74389"/>
    <w:rsid w:val="194C4EB3"/>
    <w:rsid w:val="1EBB60B2"/>
    <w:rsid w:val="2129511F"/>
    <w:rsid w:val="23626FBD"/>
    <w:rsid w:val="2778176E"/>
    <w:rsid w:val="278D127C"/>
    <w:rsid w:val="28A052E0"/>
    <w:rsid w:val="2B0A1CE9"/>
    <w:rsid w:val="2DF77A88"/>
    <w:rsid w:val="31C111D5"/>
    <w:rsid w:val="36526923"/>
    <w:rsid w:val="3E9604B5"/>
    <w:rsid w:val="461A4DE0"/>
    <w:rsid w:val="492B1AA9"/>
    <w:rsid w:val="49D17205"/>
    <w:rsid w:val="49F14BCC"/>
    <w:rsid w:val="50EC444E"/>
    <w:rsid w:val="52753952"/>
    <w:rsid w:val="57134413"/>
    <w:rsid w:val="59584703"/>
    <w:rsid w:val="5ABD1F23"/>
    <w:rsid w:val="5AC826DC"/>
    <w:rsid w:val="69825F2A"/>
    <w:rsid w:val="6A850C13"/>
    <w:rsid w:val="6D456D88"/>
    <w:rsid w:val="6D7E663C"/>
    <w:rsid w:val="71C268F6"/>
    <w:rsid w:val="7D400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styleId="3">
    <w:name w:val="heading 1"/>
    <w:basedOn w:val="4"/>
    <w:next w:val="4"/>
    <w:link w:val="28"/>
    <w:qFormat/>
    <w:uiPriority w:val="0"/>
    <w:pPr>
      <w:numPr>
        <w:ilvl w:val="0"/>
        <w:numId w:val="1"/>
      </w:numPr>
      <w:spacing w:before="150" w:beforeLines="150" w:after="600"/>
      <w:ind w:left="1134" w:firstLine="0" w:firstLineChars="0"/>
      <w:jc w:val="center"/>
      <w:outlineLvl w:val="0"/>
    </w:pPr>
    <w:rPr>
      <w:rFonts w:ascii="Times New Roman" w:hAnsi="Times New Roman" w:eastAsia="宋体" w:cs="Times New Roman"/>
      <w:b/>
      <w:bCs/>
      <w:sz w:val="32"/>
      <w:szCs w:val="32"/>
    </w:rPr>
  </w:style>
  <w:style w:type="paragraph" w:styleId="6">
    <w:name w:val="heading 2"/>
    <w:basedOn w:val="1"/>
    <w:next w:val="1"/>
    <w:unhideWhenUsed/>
    <w:qFormat/>
    <w:uiPriority w:val="0"/>
    <w:pPr>
      <w:spacing w:before="50" w:beforeLines="50" w:after="100" w:afterLines="100"/>
      <w:ind w:left="0" w:firstLine="0" w:firstLineChars="0"/>
      <w:outlineLvl w:val="1"/>
    </w:pPr>
    <w:rPr>
      <w:rFonts w:ascii="Times New Roman" w:hAnsi="Times New Roman" w:eastAsia="宋体" w:cs="Times New Roman"/>
      <w:b/>
      <w:bCs/>
      <w:sz w:val="30"/>
      <w:szCs w:val="30"/>
      <w:lang w:eastAsia="en-US"/>
    </w:rPr>
  </w:style>
  <w:style w:type="paragraph" w:styleId="7">
    <w:name w:val="heading 3"/>
    <w:basedOn w:val="1"/>
    <w:next w:val="1"/>
    <w:link w:val="22"/>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100" w:beforeAutospacing="1" w:after="100" w:afterAutospacing="1" w:line="240" w:lineRule="auto"/>
      <w:jc w:val="center"/>
      <w:outlineLvl w:val="0"/>
    </w:pPr>
    <w:rPr>
      <w:rFonts w:ascii="Cambria" w:hAnsi="Cambria" w:eastAsia="黑体" w:cs="Times New Roman"/>
      <w:bCs/>
      <w:sz w:val="36"/>
      <w:szCs w:val="32"/>
    </w:r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spacing w:after="120" w:afterLines="0" w:afterAutospacing="0"/>
    </w:pPr>
  </w:style>
  <w:style w:type="paragraph" w:styleId="8">
    <w:name w:val="Plain Text"/>
    <w:basedOn w:val="1"/>
    <w:qFormat/>
    <w:uiPriority w:val="0"/>
    <w:rPr>
      <w:rFonts w:hAnsi="Courier New"/>
      <w:kern w:val="2"/>
      <w:sz w:val="21"/>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style>
  <w:style w:type="paragraph" w:styleId="12">
    <w:name w:val="List"/>
    <w:basedOn w:val="1"/>
    <w:qFormat/>
    <w:uiPriority w:val="0"/>
    <w:pPr>
      <w:ind w:left="200" w:hanging="200" w:hanging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表头"/>
    <w:basedOn w:val="1"/>
    <w:next w:val="1"/>
    <w:link w:val="18"/>
    <w:qFormat/>
    <w:uiPriority w:val="0"/>
    <w:pPr>
      <w:spacing w:line="360" w:lineRule="auto"/>
      <w:jc w:val="center"/>
    </w:pPr>
    <w:rPr>
      <w:rFonts w:ascii="Times New Roman" w:hAnsi="Times New Roman" w:cs="Times New Roman"/>
      <w:b/>
      <w:kern w:val="2"/>
      <w:sz w:val="21"/>
      <w:szCs w:val="20"/>
    </w:rPr>
  </w:style>
  <w:style w:type="character" w:customStyle="1" w:styleId="18">
    <w:name w:val="表头 Char"/>
    <w:link w:val="17"/>
    <w:qFormat/>
    <w:uiPriority w:val="0"/>
    <w:rPr>
      <w:rFonts w:ascii="Times New Roman" w:hAnsi="Times New Roman" w:cs="Times New Roman"/>
      <w:b/>
      <w:kern w:val="2"/>
      <w:sz w:val="21"/>
      <w:szCs w:val="20"/>
    </w:rPr>
  </w:style>
  <w:style w:type="paragraph" w:customStyle="1" w:styleId="19">
    <w:name w:val="表格"/>
    <w:basedOn w:val="12"/>
    <w:next w:val="1"/>
    <w:qFormat/>
    <w:uiPriority w:val="0"/>
    <w:pPr>
      <w:spacing w:line="240" w:lineRule="auto"/>
      <w:ind w:left="0" w:leftChars="0" w:right="0" w:rightChars="0" w:firstLine="0" w:firstLineChars="0"/>
      <w:jc w:val="center"/>
    </w:pPr>
    <w:rPr>
      <w:rFonts w:ascii="Times New Roman" w:hAnsi="Times New Roman" w:eastAsia="宋体"/>
      <w:bCs/>
      <w:kern w:val="2"/>
      <w:sz w:val="21"/>
      <w:szCs w:val="28"/>
    </w:rPr>
  </w:style>
  <w:style w:type="paragraph" w:customStyle="1" w:styleId="20">
    <w:name w:val="T表格文字"/>
    <w:basedOn w:val="1"/>
    <w:qFormat/>
    <w:uiPriority w:val="0"/>
    <w:pPr>
      <w:spacing w:line="240" w:lineRule="auto"/>
      <w:ind w:firstLine="0" w:firstLineChars="0"/>
      <w:jc w:val="center"/>
    </w:pPr>
    <w:rPr>
      <w:rFonts w:ascii="Times New Roman" w:hAnsi="Times New Roman" w:eastAsia="宋体" w:cs="Times New Roman"/>
      <w:sz w:val="21"/>
    </w:rPr>
  </w:style>
  <w:style w:type="paragraph" w:customStyle="1" w:styleId="21">
    <w:name w:val="List Paragraph1"/>
    <w:basedOn w:val="1"/>
    <w:qFormat/>
    <w:uiPriority w:val="0"/>
    <w:pPr>
      <w:ind w:firstLine="420"/>
    </w:pPr>
  </w:style>
  <w:style w:type="character" w:customStyle="1" w:styleId="22">
    <w:name w:val="标题 3 Char1"/>
    <w:link w:val="7"/>
    <w:qFormat/>
    <w:uiPriority w:val="0"/>
    <w:rPr>
      <w:b/>
      <w:sz w:val="32"/>
    </w:rPr>
  </w:style>
  <w:style w:type="character" w:customStyle="1" w:styleId="23">
    <w:name w:val="Hoofdtekst + Calibri"/>
    <w:qFormat/>
    <w:uiPriority w:val="0"/>
    <w:rPr>
      <w:rFonts w:ascii="Calibri" w:hAnsi="Calibri"/>
      <w:color w:val="000000"/>
      <w:spacing w:val="1"/>
      <w:w w:val="100"/>
      <w:position w:val="0"/>
      <w:sz w:val="13"/>
      <w:shd w:val="clear" w:color="auto" w:fill="FFFFFF"/>
      <w:lang w:val="nl-NL"/>
    </w:rPr>
  </w:style>
  <w:style w:type="table" w:customStyle="1" w:styleId="24">
    <w:name w:val="Plain Table 2"/>
    <w:basedOn w:val="13"/>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25">
    <w:name w:val="表头字体"/>
    <w:basedOn w:val="1"/>
    <w:next w:val="1"/>
    <w:qFormat/>
    <w:uiPriority w:val="0"/>
    <w:pPr>
      <w:jc w:val="center"/>
    </w:pPr>
    <w:rPr>
      <w:rFonts w:eastAsia="黑体"/>
      <w:b/>
      <w:sz w:val="24"/>
      <w:szCs w:val="24"/>
    </w:rPr>
  </w:style>
  <w:style w:type="paragraph" w:customStyle="1" w:styleId="26">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7">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character" w:customStyle="1" w:styleId="28">
    <w:name w:val="标题 1 Char1"/>
    <w:link w:val="3"/>
    <w:uiPriority w:val="0"/>
    <w:rPr>
      <w:rFonts w:ascii="Times New Roman" w:hAnsi="Times New Roman" w:eastAsia="宋体"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2021-09-03T06:24:00Z</dcterms:created>
  <dc:creator>何秀芝</dc:creator>
  <cp:lastModifiedBy>Administrator</cp:lastModifiedBy>
  <cp:lastPrinted>2021-11-16T08:29:09Z</cp:lastPrinted>
  <dcterms:modified xsi:type="dcterms:W3CDTF">2021-11-16T08:29:16Z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EE7C742DD3334926904F5C07783EFA18</vt:lpwstr>
  </property>
</Properties>
</file>