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Times New Roman" w:hAnsi="Times New Roman" w:eastAsia="宋体" w:cs="Times New Roman"/>
          <w:b/>
          <w:bCs/>
          <w:color w:val="000000"/>
          <w:spacing w:val="-23"/>
          <w:sz w:val="48"/>
          <w:szCs w:val="48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pacing w:val="-23"/>
          <w:sz w:val="48"/>
          <w:szCs w:val="48"/>
          <w:lang w:eastAsia="zh-CN"/>
        </w:rPr>
      </w:pPr>
    </w:p>
    <w:p>
      <w:pPr>
        <w:widowControl/>
        <w:autoSpaceDE/>
        <w:autoSpaceDN/>
        <w:adjustRightInd w:val="0"/>
        <w:snapToGrid w:val="0"/>
        <w:spacing w:after="200"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eastAsia="zh-CN"/>
        </w:rPr>
      </w:pPr>
      <w:r>
        <w:rPr>
          <w:rFonts w:hint="eastAsia" w:cs="Times New Roman"/>
          <w:b/>
          <w:color w:val="000000"/>
          <w:sz w:val="48"/>
          <w:szCs w:val="48"/>
          <w:lang w:eastAsia="zh-CN"/>
        </w:rPr>
        <w:t>湘阴县湘滨镇</w:t>
      </w:r>
      <w:r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eastAsia="zh-CN"/>
        </w:rPr>
        <w:t>污水处理</w:t>
      </w:r>
      <w:r>
        <w:rPr>
          <w:rFonts w:hint="eastAsia" w:cs="Times New Roman"/>
          <w:b/>
          <w:color w:val="000000"/>
          <w:sz w:val="48"/>
          <w:szCs w:val="48"/>
          <w:lang w:eastAsia="zh-CN"/>
        </w:rPr>
        <w:t>工程</w:t>
      </w:r>
    </w:p>
    <w:p>
      <w:pPr>
        <w:widowControl/>
        <w:autoSpaceDE/>
        <w:autoSpaceDN/>
        <w:adjustRightInd w:val="0"/>
        <w:snapToGrid w:val="0"/>
        <w:spacing w:after="200"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val="en-US" w:eastAsia="zh-CN"/>
        </w:rPr>
        <w:t>项目(</w:t>
      </w:r>
      <w:r>
        <w:rPr>
          <w:rFonts w:hint="eastAsia" w:cs="Times New Roman"/>
          <w:b/>
          <w:color w:val="000000"/>
          <w:sz w:val="48"/>
          <w:szCs w:val="4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val="en-US" w:eastAsia="zh-CN"/>
        </w:rPr>
        <w:t>00m</w:t>
      </w:r>
      <w:r>
        <w:rPr>
          <w:rFonts w:hint="default" w:ascii="Times New Roman" w:hAnsi="Times New Roman" w:eastAsia="宋体" w:cs="Times New Roman"/>
          <w:b/>
          <w:color w:val="000000"/>
          <w:sz w:val="48"/>
          <w:szCs w:val="4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val="en-US" w:eastAsia="zh-CN"/>
        </w:rPr>
        <w:t>/d)</w:t>
      </w:r>
    </w:p>
    <w:p>
      <w:pPr>
        <w:widowControl/>
        <w:autoSpaceDE/>
        <w:autoSpaceDN/>
        <w:adjustRightInd w:val="0"/>
        <w:snapToGrid w:val="0"/>
        <w:spacing w:after="200"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sz w:val="48"/>
          <w:szCs w:val="48"/>
          <w:lang w:eastAsia="zh-CN"/>
        </w:rPr>
        <w:t>竣工环境保护验收监测报告表</w:t>
      </w:r>
    </w:p>
    <w:p>
      <w:pPr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2"/>
        <w:rPr>
          <w:rFonts w:hint="default" w:ascii="Times New Roman" w:hAnsi="Times New Roman" w:eastAsia="宋体" w:cs="Times New Roman"/>
          <w:lang w:eastAsia="zh-CN"/>
        </w:rPr>
      </w:pPr>
    </w:p>
    <w:p>
      <w:pPr>
        <w:rPr>
          <w:rFonts w:hint="default" w:ascii="Times New Roman" w:hAnsi="Times New Roman" w:eastAsia="宋体" w:cs="Times New Roman"/>
          <w:u w:val="single"/>
          <w:lang w:eastAsia="zh-CN"/>
        </w:rPr>
      </w:pPr>
    </w:p>
    <w:p>
      <w:pPr>
        <w:autoSpaceDE/>
        <w:autoSpaceDN/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8"/>
          <w:szCs w:val="28"/>
          <w:u w:val="single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sz w:val="28"/>
          <w:szCs w:val="28"/>
          <w:u w:val="none"/>
          <w:lang w:eastAsia="zh-CN"/>
        </w:rPr>
        <w:t>建设单位：</w:t>
      </w:r>
      <w:r>
        <w:rPr>
          <w:rFonts w:hint="eastAsia" w:cs="Times New Roman"/>
          <w:color w:val="000000"/>
          <w:sz w:val="28"/>
          <w:szCs w:val="28"/>
          <w:u w:val="single"/>
          <w:lang w:eastAsia="zh-CN"/>
        </w:rPr>
        <w:t>湘阴中源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u w:val="single"/>
          <w:lang w:eastAsia="zh-CN"/>
        </w:rPr>
        <w:t>环保科技有限公司</w:t>
      </w:r>
    </w:p>
    <w:p>
      <w:pPr>
        <w:pStyle w:val="2"/>
        <w:ind w:firstLine="1680" w:firstLineChars="600"/>
        <w:jc w:val="both"/>
        <w:rPr>
          <w:rFonts w:hint="default" w:ascii="Times New Roman" w:hAnsi="Times New Roman" w:eastAsia="宋体" w:cs="Times New Roman"/>
          <w:color w:val="000000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8"/>
          <w:szCs w:val="28"/>
          <w:u w:val="none"/>
          <w:lang w:eastAsia="zh-CN"/>
        </w:rPr>
        <w:t>编制单位：</w:t>
      </w:r>
      <w:r>
        <w:rPr>
          <w:rFonts w:hint="eastAsia" w:ascii="Times New Roman" w:hAnsi="Times New Roman" w:cs="Times New Roman"/>
          <w:color w:val="000000"/>
          <w:sz w:val="28"/>
          <w:szCs w:val="28"/>
          <w:u w:val="single"/>
          <w:lang w:val="en-US" w:eastAsia="zh-CN"/>
        </w:rPr>
        <w:t xml:space="preserve">   湖南衡润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u w:val="single"/>
          <w:lang w:eastAsia="zh-CN"/>
        </w:rPr>
        <w:t>科技有限公司</w:t>
      </w:r>
      <w:r>
        <w:rPr>
          <w:rFonts w:hint="eastAsia" w:ascii="Times New Roman" w:hAnsi="Times New Roman" w:cs="Times New Roman"/>
          <w:color w:val="000000"/>
          <w:sz w:val="28"/>
          <w:szCs w:val="28"/>
          <w:u w:val="single"/>
          <w:lang w:val="en-US" w:eastAsia="zh-CN"/>
        </w:rPr>
        <w:t xml:space="preserve">   </w:t>
      </w:r>
    </w:p>
    <w:p>
      <w:pPr>
        <w:autoSpaceDE/>
        <w:autoSpaceDN/>
        <w:spacing w:line="360" w:lineRule="auto"/>
        <w:jc w:val="center"/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sectPr>
          <w:headerReference r:id="rId4" w:type="first"/>
          <w:headerReference r:id="rId3" w:type="default"/>
          <w:pgSz w:w="11906" w:h="16838"/>
          <w:pgMar w:top="1440" w:right="1803" w:bottom="1440" w:left="1803" w:header="85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二零二</w:t>
      </w:r>
      <w:r>
        <w:rPr>
          <w:rFonts w:hint="eastAsia" w:cs="Times New Roman"/>
          <w:color w:val="000000"/>
          <w:sz w:val="28"/>
          <w:szCs w:val="28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年</w:t>
      </w:r>
      <w:r>
        <w:rPr>
          <w:rFonts w:hint="eastAsia" w:cs="Times New Roman"/>
          <w:color w:val="000000"/>
          <w:sz w:val="28"/>
          <w:szCs w:val="28"/>
          <w:lang w:val="en-US" w:eastAsia="zh-CN"/>
        </w:rPr>
        <w:t>七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月</w:t>
      </w:r>
    </w:p>
    <w:tbl>
      <w:tblPr>
        <w:tblStyle w:val="19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5"/>
        <w:gridCol w:w="4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71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 xml:space="preserve">建设单位法人代表：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（签字）</w:t>
            </w:r>
          </w:p>
          <w:p>
            <w:pP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 xml:space="preserve">编制单位法人代表：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（签字）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71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项 目 负 责 人：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胡锦润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71" w:type="dxa"/>
            <w:gridSpan w:val="2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填    表    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6" w:hRule="atLeast"/>
          <w:jc w:val="center"/>
        </w:trPr>
        <w:tc>
          <w:tcPr>
            <w:tcW w:w="8971" w:type="dxa"/>
            <w:gridSpan w:val="2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55" w:type="dxa"/>
            <w:vAlign w:val="center"/>
          </w:tcPr>
          <w:tbl>
            <w:tblPr>
              <w:tblStyle w:val="20"/>
              <w:tblW w:w="0" w:type="auto"/>
              <w:tblInd w:w="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169"/>
              <w:gridCol w:w="417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69" w:type="dxa"/>
                  <w:tcBorders>
                    <w:tl2br w:val="nil"/>
                    <w:tr2bl w:val="nil"/>
                  </w:tcBorders>
                </w:tcPr>
                <w:p>
                  <w:pPr>
                    <w:spacing w:line="360" w:lineRule="auto"/>
                    <w:ind w:left="2280" w:hanging="2280" w:hangingChars="950"/>
                    <w:jc w:val="left"/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eastAsia="zh-CN"/>
                    </w:rPr>
                    <w:t>建设单位（盖章）：</w:t>
                  </w:r>
                  <w:r>
                    <w:rPr>
                      <w:rFonts w:hint="eastAsia" w:cs="Times New Roman"/>
                      <w:sz w:val="24"/>
                      <w:szCs w:val="24"/>
                      <w:lang w:eastAsia="zh-CN"/>
                    </w:rPr>
                    <w:t>湘阴中源</w:t>
                  </w:r>
                  <w:r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val="en-US" w:eastAsia="zh-CN"/>
                    </w:rPr>
                    <w:t>环</w:t>
                  </w:r>
                </w:p>
                <w:p>
                  <w:pPr>
                    <w:spacing w:line="360" w:lineRule="auto"/>
                    <w:ind w:left="2280" w:hanging="2280" w:hangingChars="950"/>
                    <w:jc w:val="left"/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vertAlign w:val="baseline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4"/>
                      <w:szCs w:val="24"/>
                      <w:lang w:val="en-US" w:eastAsia="zh-CN"/>
                    </w:rPr>
                    <w:t>保科技</w:t>
                  </w:r>
                  <w:r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val="en-US" w:eastAsia="zh-CN"/>
                    </w:rPr>
                    <w:t>有限公司</w:t>
                  </w:r>
                </w:p>
              </w:tc>
              <w:tc>
                <w:tcPr>
                  <w:tcW w:w="4170" w:type="dxa"/>
                  <w:tcBorders>
                    <w:tl2br w:val="nil"/>
                    <w:tr2bl w:val="nil"/>
                  </w:tcBorders>
                </w:tcPr>
                <w:p>
                  <w:pPr>
                    <w:spacing w:line="360" w:lineRule="auto"/>
                    <w:jc w:val="left"/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val="en-US" w:eastAsia="zh-CN"/>
                    </w:rPr>
                    <w:t>编制</w:t>
                  </w:r>
                  <w:r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eastAsia="zh-CN"/>
                    </w:rPr>
                    <w:t>单位（盖章）：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4"/>
                      <w:lang w:val="en-US" w:eastAsia="zh-CN"/>
                    </w:rPr>
                    <w:t>湖南衡润科技有限公司</w:t>
                  </w:r>
                </w:p>
              </w:tc>
            </w:tr>
          </w:tbl>
          <w:p>
            <w:pPr>
              <w:spacing w:line="360" w:lineRule="auto"/>
              <w:ind w:left="2280" w:leftChars="0" w:hanging="2280" w:hangingChars="95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6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5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电    话：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电    话：</w:t>
            </w:r>
          </w:p>
        </w:tc>
        <w:tc>
          <w:tcPr>
            <w:tcW w:w="416" w:type="dxa"/>
            <w:vMerge w:val="continue"/>
            <w:vAlign w:val="center"/>
          </w:tcPr>
          <w:p>
            <w:pPr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5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传    真：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传    真：</w:t>
            </w:r>
          </w:p>
        </w:tc>
        <w:tc>
          <w:tcPr>
            <w:tcW w:w="416" w:type="dxa"/>
            <w:vMerge w:val="continue"/>
            <w:vAlign w:val="center"/>
          </w:tcPr>
          <w:p>
            <w:pPr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5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邮    编： 414000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邮    编： 414000</w:t>
            </w:r>
          </w:p>
        </w:tc>
        <w:tc>
          <w:tcPr>
            <w:tcW w:w="416" w:type="dxa"/>
            <w:vMerge w:val="continue"/>
            <w:vAlign w:val="center"/>
          </w:tcPr>
          <w:p>
            <w:pPr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555" w:type="dxa"/>
            <w:vAlign w:val="top"/>
          </w:tcPr>
          <w:tbl>
            <w:tblPr>
              <w:tblStyle w:val="20"/>
              <w:tblW w:w="16678" w:type="dxa"/>
              <w:tblInd w:w="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169"/>
              <w:gridCol w:w="4170"/>
              <w:gridCol w:w="4169"/>
              <w:gridCol w:w="417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69" w:type="dxa"/>
                  <w:tcBorders>
                    <w:tl2br w:val="nil"/>
                    <w:tr2bl w:val="nil"/>
                  </w:tcBorders>
                </w:tcPr>
                <w:p>
                  <w:pPr>
                    <w:spacing w:line="360" w:lineRule="auto"/>
                    <w:ind w:left="2280" w:leftChars="0" w:hanging="2280" w:hangingChars="950"/>
                    <w:jc w:val="left"/>
                    <w:rPr>
                      <w:rFonts w:hint="eastAsia" w:ascii="Times New Roman" w:hAnsi="Times New Roman" w:eastAsia="宋体" w:cs="Times New Roman"/>
                      <w:color w:val="auto"/>
                      <w:sz w:val="24"/>
                      <w:u w:val="none" w:color="auto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4"/>
                      <w:szCs w:val="24"/>
                      <w:lang w:eastAsia="zh-CN"/>
                    </w:rPr>
                    <w:t>地址</w:t>
                  </w:r>
                  <w:r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eastAsia="zh-CN"/>
                    </w:rPr>
                    <w:t>：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4"/>
                      <w:u w:val="none" w:color="auto"/>
                      <w:lang w:eastAsia="zh-CN"/>
                    </w:rPr>
                    <w:t>湖南省岳阳市湘阴县文星镇</w:t>
                  </w:r>
                </w:p>
                <w:p>
                  <w:pPr>
                    <w:spacing w:line="360" w:lineRule="auto"/>
                    <w:ind w:left="2280" w:leftChars="0" w:hanging="2280" w:hangingChars="950"/>
                    <w:jc w:val="left"/>
                    <w:rPr>
                      <w:rFonts w:hint="eastAsia" w:ascii="Times New Roman" w:hAnsi="Times New Roman" w:eastAsia="宋体" w:cs="Times New Roman"/>
                      <w:kern w:val="0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auto"/>
                      <w:sz w:val="24"/>
                      <w:u w:val="none" w:color="auto"/>
                      <w:lang w:eastAsia="zh-CN"/>
                    </w:rPr>
                    <w:t>岳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4"/>
                      <w:u w:val="none" w:color="auto"/>
                      <w:lang w:eastAsia="zh-CN"/>
                    </w:rPr>
                    <w:t>州窑商业街5栋405号</w:t>
                  </w:r>
                </w:p>
              </w:tc>
              <w:tc>
                <w:tcPr>
                  <w:tcW w:w="4170" w:type="dxa"/>
                  <w:tcBorders>
                    <w:tl2br w:val="nil"/>
                    <w:tr2bl w:val="nil"/>
                  </w:tcBorders>
                </w:tcPr>
                <w:p>
                  <w:pPr>
                    <w:spacing w:line="360" w:lineRule="auto"/>
                    <w:jc w:val="left"/>
                    <w:rPr>
                      <w:rFonts w:hint="eastAsia" w:ascii="Times New Roman" w:hAnsi="Times New Roman" w:eastAsia="宋体" w:cs="Times New Roman"/>
                      <w:kern w:val="0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sz w:val="24"/>
                      <w:szCs w:val="24"/>
                      <w:lang w:eastAsia="zh-CN"/>
                    </w:rPr>
                    <w:t>地址</w:t>
                  </w:r>
                  <w:r>
                    <w:rPr>
                      <w:rFonts w:hint="default" w:ascii="Times New Roman" w:hAnsi="Times New Roman" w:eastAsia="宋体" w:cs="Times New Roman"/>
                      <w:sz w:val="24"/>
                      <w:szCs w:val="24"/>
                      <w:lang w:eastAsia="zh-CN"/>
                    </w:rPr>
                    <w:t>：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4"/>
                      <w:u w:val="none" w:color="auto"/>
                      <w:lang w:eastAsia="zh-CN"/>
                    </w:rPr>
                    <w:t>湖南省岳阳城陵矶新港区长湖路</w:t>
                  </w:r>
                </w:p>
              </w:tc>
              <w:tc>
                <w:tcPr>
                  <w:tcW w:w="4169" w:type="dxa"/>
                  <w:tcBorders>
                    <w:tl2br w:val="nil"/>
                    <w:tr2bl w:val="nil"/>
                  </w:tcBorders>
                </w:tcPr>
                <w:p>
                  <w:pPr>
                    <w:spacing w:line="360" w:lineRule="auto"/>
                    <w:jc w:val="left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kern w:val="0"/>
                      <w:sz w:val="24"/>
                      <w:szCs w:val="24"/>
                      <w:vertAlign w:val="baseline"/>
                      <w:lang w:val="en-US" w:eastAsia="zh-CN" w:bidi="ar-SA"/>
                    </w:rPr>
                    <w:t>地址：</w:t>
                  </w:r>
                </w:p>
              </w:tc>
              <w:tc>
                <w:tcPr>
                  <w:tcW w:w="4170" w:type="dxa"/>
                  <w:tcBorders>
                    <w:tl2br w:val="nil"/>
                    <w:tr2bl w:val="nil"/>
                  </w:tcBorders>
                </w:tcPr>
                <w:p>
                  <w:pPr>
                    <w:spacing w:line="360" w:lineRule="auto"/>
                    <w:jc w:val="left"/>
                    <w:rPr>
                      <w:rFonts w:hint="default" w:ascii="Times New Roman" w:hAnsi="Times New Roman" w:eastAsia="宋体" w:cs="Times New Roman"/>
                      <w:kern w:val="0"/>
                      <w:sz w:val="24"/>
                      <w:szCs w:val="24"/>
                      <w:vertAlign w:val="baseline"/>
                      <w:lang w:val="en-US" w:eastAsia="zh-CN" w:bidi="ar-SA"/>
                    </w:rPr>
                  </w:pPr>
                </w:p>
              </w:tc>
            </w:tr>
          </w:tbl>
          <w:p>
            <w:pPr>
              <w:spacing w:line="360" w:lineRule="auto"/>
              <w:ind w:left="2280" w:leftChars="0" w:hanging="2280" w:hangingChars="95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6" w:type="dxa"/>
            <w:vMerge w:val="continue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</w:tr>
    </w:tbl>
    <w:p>
      <w:pPr>
        <w:widowControl/>
        <w:autoSpaceDE/>
        <w:autoSpaceDN/>
        <w:rPr>
          <w:rFonts w:hint="default" w:ascii="Times New Roman" w:hAnsi="Times New Roman" w:eastAsia="宋体" w:cs="Times New Roman"/>
          <w:b/>
          <w:sz w:val="24"/>
          <w:szCs w:val="24"/>
          <w:lang w:eastAsia="zh-CN"/>
        </w:rPr>
        <w:sectPr>
          <w:headerReference r:id="rId5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sz w:val="24"/>
          <w:szCs w:val="24"/>
          <w:lang w:eastAsia="zh-CN"/>
        </w:rPr>
        <w:br w:type="page"/>
      </w:r>
    </w:p>
    <w:p>
      <w:pPr>
        <w:spacing w:line="386" w:lineRule="exac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sz w:val="28"/>
          <w:szCs w:val="28"/>
        </w:rPr>
        <w:t>表一</w:t>
      </w:r>
    </w:p>
    <w:tbl>
      <w:tblPr>
        <w:tblStyle w:val="19"/>
        <w:tblW w:w="919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2726"/>
        <w:gridCol w:w="1797"/>
        <w:gridCol w:w="790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建设项目名称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湘阴县湘滨镇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污水处理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(处理规模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 w:color="auto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/d)建设项目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建设单位名称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湘阴县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环保科技有限公司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建设项目性质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新建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建设地点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湘阴县湘滨镇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设计生产能力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日处理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00立方生活废水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实际生产能力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日处理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00立方生活废水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建设项目环评时间</w:t>
            </w:r>
          </w:p>
        </w:tc>
        <w:tc>
          <w:tcPr>
            <w:tcW w:w="2774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0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开工建设时间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20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21.2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调试时间</w:t>
            </w:r>
          </w:p>
        </w:tc>
        <w:tc>
          <w:tcPr>
            <w:tcW w:w="2774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1830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验收现场监测时间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</w:t>
            </w: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1.6.4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-202</w:t>
            </w: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hanging="104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环评报告</w:t>
            </w:r>
          </w:p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hanging="104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审批部门</w:t>
            </w:r>
          </w:p>
        </w:tc>
        <w:tc>
          <w:tcPr>
            <w:tcW w:w="2774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岳阳市生态环境局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湘阴分局</w:t>
            </w:r>
          </w:p>
        </w:tc>
        <w:tc>
          <w:tcPr>
            <w:tcW w:w="1830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环评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编制单位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景玺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环保科技有限公司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环保设施设计</w:t>
            </w:r>
          </w:p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774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湘阴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中源环保科技有限公司</w:t>
            </w:r>
          </w:p>
        </w:tc>
        <w:tc>
          <w:tcPr>
            <w:tcW w:w="1830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环保设施施工单位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湘阴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中源环保科技有限公司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投资总概算</w:t>
            </w:r>
          </w:p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774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highlight w:val="none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1590.87</w:t>
            </w:r>
          </w:p>
        </w:tc>
        <w:tc>
          <w:tcPr>
            <w:tcW w:w="1830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环保投资总概算</w:t>
            </w:r>
          </w:p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639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highlight w:val="none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1590.87</w:t>
            </w:r>
          </w:p>
        </w:tc>
        <w:tc>
          <w:tcPr>
            <w:tcW w:w="1113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比例</w:t>
            </w:r>
          </w:p>
        </w:tc>
        <w:tc>
          <w:tcPr>
            <w:tcW w:w="1283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实际总概算</w:t>
            </w:r>
          </w:p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774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highlight w:val="none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1590.87</w:t>
            </w:r>
          </w:p>
        </w:tc>
        <w:tc>
          <w:tcPr>
            <w:tcW w:w="1830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环保投资</w:t>
            </w:r>
          </w:p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639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highlight w:val="none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1590.87</w:t>
            </w:r>
          </w:p>
        </w:tc>
        <w:tc>
          <w:tcPr>
            <w:tcW w:w="1113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比例</w:t>
            </w:r>
          </w:p>
        </w:tc>
        <w:tc>
          <w:tcPr>
            <w:tcW w:w="1283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1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right="16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  <w:t>验收监测依据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（1）《建设项目环境保护管理条例》，中华人民共和国国务院令第682号，2017年10月1日；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（2）《建设项目竣工环境保护验收暂行办法》，国环规环评〔2017〕4号令；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（3）《建设项目竣工环境保护验收技术指南 污染影响类》生态环保部办公厅2018年5月16日印发；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（4）《中华人民共和国水污染防治法》，2018年1月1日；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（5）《中华人民共和国大气污染防治法》，2018年10月26日；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（6）《中华人民共和国环境噪声污染防治法》，2018年12月29日；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（7）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《中华人民共和国固体废物污染环境防治法》（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2020年9月1日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）《湘阴县湘滨镇污水处理工程项目（300m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/d）建设项目环境影响报告表》2020年10月；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）《关于湘阴县湘滨镇污水处理工程项目（300m3/d）建设项目环境影响报告表的批复》湘阴环评批[2021]19号；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br w:type="textWrapping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0" w:hRule="atLeast"/>
          <w:jc w:val="center"/>
        </w:trPr>
        <w:tc>
          <w:tcPr>
            <w:tcW w:w="1555" w:type="dxa"/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eastAsia="zh-CN"/>
              </w:rPr>
              <w:t>验收监测评价标准、级别、限值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28"/>
                <w:szCs w:val="28"/>
                <w:lang w:eastAsia="zh-CN"/>
              </w:rPr>
              <w:t>一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8"/>
                <w:szCs w:val="28"/>
                <w:lang w:eastAsia="zh-CN"/>
              </w:rPr>
              <w:t>、验收监测污染物排放标准：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0"/>
              </w:rPr>
              <w:t>表</w:t>
            </w:r>
            <w:r>
              <w:rPr>
                <w:rFonts w:hint="eastAsia" w:cs="Times New Roman"/>
                <w:b/>
                <w:color w:val="auto"/>
                <w:sz w:val="21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0"/>
              </w:rPr>
              <w:t xml:space="preserve">  </w:t>
            </w:r>
            <w:r>
              <w:rPr>
                <w:rFonts w:hint="eastAsia" w:cs="Times New Roman"/>
                <w:b/>
                <w:color w:val="auto"/>
                <w:sz w:val="21"/>
                <w:szCs w:val="20"/>
                <w:lang w:eastAsia="zh-CN"/>
              </w:rPr>
              <w:t>验收评价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0"/>
              </w:rPr>
              <w:t>标准一览表</w:t>
            </w:r>
          </w:p>
          <w:tbl>
            <w:tblPr>
              <w:tblStyle w:val="20"/>
              <w:tblW w:w="5000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2"/>
              <w:gridCol w:w="2203"/>
              <w:gridCol w:w="986"/>
              <w:gridCol w:w="1125"/>
              <w:gridCol w:w="1282"/>
              <w:gridCol w:w="103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要素分类</w:t>
                  </w:r>
                </w:p>
              </w:tc>
              <w:tc>
                <w:tcPr>
                  <w:tcW w:w="1437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标准名称</w:t>
                  </w:r>
                </w:p>
              </w:tc>
              <w:tc>
                <w:tcPr>
                  <w:tcW w:w="643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适用类别</w:t>
                  </w:r>
                </w:p>
              </w:tc>
              <w:tc>
                <w:tcPr>
                  <w:tcW w:w="1570" w:type="pct"/>
                  <w:gridSpan w:val="2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标准限值</w:t>
                  </w:r>
                </w:p>
              </w:tc>
              <w:tc>
                <w:tcPr>
                  <w:tcW w:w="675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评价对象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参数名称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排放限值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废气</w:t>
                  </w:r>
                </w:p>
              </w:tc>
              <w:tc>
                <w:tcPr>
                  <w:tcW w:w="1437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《城镇污水处理厂污染物排放标准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lang w:val="en-US" w:eastAsia="zh-CN"/>
                    </w:rPr>
                    <w:t>》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（GB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18918-2002）</w:t>
                  </w:r>
                </w:p>
              </w:tc>
              <w:tc>
                <w:tcPr>
                  <w:tcW w:w="643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表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4二级标准</w:t>
                  </w: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NH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subscript"/>
                    </w:rPr>
                    <w:t>3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</w:rPr>
                    <w:t>1.5mg/m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675" w:type="pct"/>
                  <w:vMerge w:val="restart"/>
                  <w:vAlign w:val="center"/>
                </w:tcPr>
                <w:p>
                  <w:pPr>
                    <w:pStyle w:val="1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污水处理厂恶臭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H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subscript"/>
                    </w:rPr>
                    <w:t>2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S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</w:rPr>
                    <w:t>0.06mg/m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</w:rPr>
                    <w:t>臭气浓度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</w:rPr>
                    <w:t>20（无量纲）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废水</w:t>
                  </w:r>
                </w:p>
              </w:tc>
              <w:tc>
                <w:tcPr>
                  <w:tcW w:w="1437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《城镇污水处理厂污染物排放标准》（GB18918-2002）</w:t>
                  </w:r>
                </w:p>
              </w:tc>
              <w:tc>
                <w:tcPr>
                  <w:tcW w:w="643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一级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A类标准</w:t>
                  </w: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pH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6~9</w:t>
                  </w:r>
                </w:p>
              </w:tc>
              <w:tc>
                <w:tcPr>
                  <w:tcW w:w="675" w:type="pct"/>
                  <w:vMerge w:val="restar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2"/>
                      <w:szCs w:val="22"/>
                      <w:lang w:val="en-US" w:eastAsia="zh-CN"/>
                    </w:rPr>
                    <w:t>污水处理厂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0"/>
                      <w:szCs w:val="20"/>
                      <w:vertAlign w:val="baseline"/>
                      <w:lang w:eastAsia="zh-CN"/>
                    </w:rPr>
                    <w:t>废水总排口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COD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subscript"/>
                      <w:lang w:eastAsia="zh-CN"/>
                    </w:rPr>
                    <w:t>Cr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50mg/L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BOD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subscript"/>
                      <w:lang w:eastAsia="zh-CN"/>
                    </w:rPr>
                    <w:t>5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0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氨氮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5mg/L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动植物油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总磷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0.5mg/L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总氮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15mg/L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悬浮物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0mg/L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石油类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粪大肠菌群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  <w:t>1000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1437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43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色度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675" w:type="pct"/>
                  <w:vMerge w:val="continue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3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噪声</w:t>
                  </w:r>
                </w:p>
              </w:tc>
              <w:tc>
                <w:tcPr>
                  <w:tcW w:w="1437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《工业企业厂界环境噪声排放标准》（GB 12348-2008）</w:t>
                  </w:r>
                </w:p>
              </w:tc>
              <w:tc>
                <w:tcPr>
                  <w:tcW w:w="643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类标准</w:t>
                  </w:r>
                </w:p>
              </w:tc>
              <w:tc>
                <w:tcPr>
                  <w:tcW w:w="734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等效声级</w:t>
                  </w:r>
                </w:p>
              </w:tc>
              <w:tc>
                <w:tcPr>
                  <w:tcW w:w="836" w:type="pct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昼间 60dB(A)</w:t>
                  </w:r>
                </w:p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夜间 50dB(A)</w:t>
                  </w:r>
                </w:p>
              </w:tc>
              <w:tc>
                <w:tcPr>
                  <w:tcW w:w="675" w:type="pct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eastAsia="zh-CN"/>
                    </w:rPr>
                    <w:t>厂界噪声</w:t>
                  </w:r>
                </w:p>
              </w:tc>
            </w:tr>
          </w:tbl>
          <w:p>
            <w:pPr>
              <w:adjustRightInd w:val="0"/>
              <w:snapToGrid w:val="0"/>
              <w:spacing w:before="240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eastAsia" w:cs="Times New Roman"/>
                <w:b/>
                <w:color w:val="auto"/>
                <w:sz w:val="28"/>
                <w:szCs w:val="28"/>
                <w:lang w:eastAsia="zh-CN"/>
              </w:rPr>
              <w:t>二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</w:rPr>
              <w:t>总量控制指标：</w:t>
            </w:r>
          </w:p>
          <w:p>
            <w:pPr>
              <w:adjustRightInd w:val="0"/>
              <w:snapToGrid w:val="0"/>
              <w:spacing w:before="240"/>
              <w:ind w:firstLine="480" w:firstLineChars="200"/>
              <w:jc w:val="both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废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水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COD≤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5.745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t/a、NH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-N≤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0.548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t/a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，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排放至</w:t>
            </w:r>
            <w:r>
              <w:rPr>
                <w:rFonts w:hint="eastAsia" w:cs="Times New Roman"/>
                <w:bCs/>
                <w:color w:val="auto"/>
                <w:sz w:val="24"/>
                <w:szCs w:val="24"/>
                <w:lang w:val="en-US" w:eastAsia="zh-CN"/>
              </w:rPr>
              <w:t>栗塘社区农田灌溉渠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spacing w:before="240"/>
              <w:ind w:firstLine="480" w:firstLineChars="200"/>
              <w:jc w:val="both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项目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eastAsia="zh-CN"/>
              </w:rPr>
              <w:t>无废气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污染物总量控制指标。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right="277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</w:p>
        </w:tc>
      </w:tr>
    </w:tbl>
    <w:p>
      <w:pPr>
        <w:contextualSpacing/>
        <w:rPr>
          <w:rFonts w:hint="default" w:ascii="Times New Roman" w:hAnsi="Times New Roman" w:eastAsia="宋体" w:cs="Times New Roman"/>
          <w:lang w:eastAsia="zh-CN"/>
        </w:rPr>
      </w:pPr>
    </w:p>
    <w:p>
      <w:pPr>
        <w:widowControl/>
        <w:autoSpaceDE/>
        <w:autoSpaceDN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</w:p>
    <w:p>
      <w:pPr>
        <w:spacing w:line="386" w:lineRule="exact"/>
        <w:rPr>
          <w:rFonts w:hint="default" w:ascii="Times New Roman" w:hAnsi="Times New Roman" w:eastAsia="宋体" w:cs="Times New Roman"/>
          <w:b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sz w:val="28"/>
          <w:szCs w:val="28"/>
        </w:rPr>
        <w:t>表二</w:t>
      </w:r>
    </w:p>
    <w:tbl>
      <w:tblPr>
        <w:tblStyle w:val="19"/>
        <w:tblW w:w="522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5" w:hRule="atLeast"/>
          <w:jc w:val="center"/>
        </w:trPr>
        <w:tc>
          <w:tcPr>
            <w:tcW w:w="5000" w:type="pct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cs="Times New Roman"/>
                <w:b/>
                <w:bCs/>
                <w:sz w:val="28"/>
                <w:szCs w:val="28"/>
                <w:lang w:eastAsia="zh-CN"/>
              </w:rPr>
              <w:t>工程建设内容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"/>
              </w:rPr>
              <w:t>本</w:t>
            </w: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eastAsia="zh-CN" w:bidi="ar"/>
              </w:rPr>
              <w:t>污水处理厂位于</w:t>
            </w:r>
            <w:r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"/>
              </w:rPr>
              <w:t>湘阴县湘滨镇</w:t>
            </w: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"/>
              </w:rPr>
              <w:t>，</w:t>
            </w:r>
            <w:r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"/>
              </w:rPr>
              <w:t>地理坐标（</w:t>
            </w: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"/>
              </w:rPr>
              <w:t>北纬28.741681435，东经112.686216248)</w:t>
            </w:r>
            <w:r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"/>
              </w:rPr>
              <w:t>，主要服务</w:t>
            </w:r>
            <w:r>
              <w:rPr>
                <w:rFonts w:hint="eastAsia" w:cs="Times New Roman"/>
                <w:kern w:val="2"/>
                <w:sz w:val="28"/>
                <w:szCs w:val="28"/>
                <w:lang w:eastAsia="zh-CN" w:bidi="ar"/>
              </w:rPr>
              <w:t>湘阴</w:t>
            </w:r>
            <w:r>
              <w:rPr>
                <w:rFonts w:hint="eastAsia" w:cs="Times New Roman"/>
                <w:kern w:val="2"/>
                <w:sz w:val="28"/>
                <w:szCs w:val="28"/>
                <w:lang w:val="en-US" w:eastAsia="zh-CN" w:bidi="ar"/>
              </w:rPr>
              <w:t>县</w:t>
            </w:r>
            <w:r>
              <w:rPr>
                <w:rFonts w:hint="eastAsia" w:cs="Times New Roman"/>
                <w:kern w:val="2"/>
                <w:sz w:val="28"/>
                <w:szCs w:val="28"/>
                <w:lang w:eastAsia="zh-CN" w:bidi="ar"/>
              </w:rPr>
              <w:t>湘滨镇</w:t>
            </w: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"/>
              </w:rPr>
              <w:t>片区居民。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default" w:ascii="Times New Roman" w:hAnsi="Times New Roman" w:cs="Times New Roman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2"/>
                <w:sz w:val="28"/>
                <w:szCs w:val="28"/>
                <w:lang w:val="en-US" w:eastAsia="zh-CN" w:bidi="ar"/>
              </w:rPr>
              <w:t>项目主要建设内容包括：污水处理池、管网工程及其他配套工程等。项目主要建设内容情况见下表。</w:t>
            </w:r>
          </w:p>
          <w:p>
            <w:pPr>
              <w:pStyle w:val="6"/>
              <w:spacing w:before="8" w:line="220" w:lineRule="auto"/>
              <w:ind w:right="157" w:firstLine="410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3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3"/>
                <w:sz w:val="24"/>
                <w:szCs w:val="24"/>
                <w:lang w:eastAsia="zh-CN"/>
              </w:rPr>
              <w:t>表</w:t>
            </w:r>
            <w:r>
              <w:rPr>
                <w:rFonts w:hint="eastAsia" w:cs="Times New Roman"/>
                <w:b/>
                <w:bCs/>
                <w:spacing w:val="-3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3"/>
                <w:sz w:val="24"/>
                <w:szCs w:val="24"/>
                <w:lang w:eastAsia="zh-CN"/>
              </w:rPr>
              <w:t xml:space="preserve"> 建设项目实际建内容与环评时期对比情况一览表</w:t>
            </w:r>
          </w:p>
          <w:tbl>
            <w:tblPr>
              <w:tblStyle w:val="19"/>
              <w:tblW w:w="8916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25"/>
              <w:gridCol w:w="1272"/>
              <w:gridCol w:w="6275"/>
              <w:gridCol w:w="74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625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工程</w:t>
                  </w: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项目名称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主要建设内容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17" w:hRule="atLeast"/>
                <w:jc w:val="center"/>
              </w:trPr>
              <w:tc>
                <w:tcPr>
                  <w:tcW w:w="625" w:type="dxa"/>
                  <w:vMerge w:val="restart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主体工程</w:t>
                  </w: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厂区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left="57"/>
                    <w:jc w:val="left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主要建设内容有：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00m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vertAlign w:val="superscript"/>
                      <w:lang w:val="en-US" w:eastAsia="zh-CN" w:bidi="ar"/>
                    </w:rPr>
                    <w:t xml:space="preserve">3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/d 规模组合池（含格栅渠、沉砂池、调节池、污泥池），300m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vertAlign w:val="superscript"/>
                      <w:lang w:val="en-US" w:eastAsia="zh-CN" w:bidi="ar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/d一体化设备（含生化、深度处理），300m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vertAlign w:val="superscript"/>
                      <w:lang w:val="en-US" w:eastAsia="zh-CN" w:bidi="ar"/>
                    </w:rPr>
                    <w:t xml:space="preserve">3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/d紫外消毒池，300m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vertAlign w:val="superscript"/>
                      <w:lang w:val="en-US" w:eastAsia="zh-CN" w:bidi="ar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/d巴氏计量槽，综合管理用房。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eastAsia="zh-CN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管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网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left="57"/>
                    <w:jc w:val="left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/>
                    </w:rPr>
                    <w:t>配套管网总长</w:t>
                  </w: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6.68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km。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1" w:hRule="atLeast"/>
                <w:jc w:val="center"/>
              </w:trPr>
              <w:tc>
                <w:tcPr>
                  <w:tcW w:w="625" w:type="dxa"/>
                  <w:vMerge w:val="restart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公用工程</w:t>
                  </w: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供电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57"/>
                    <w:jc w:val="left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国家电网供电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0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供水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left="57"/>
                    <w:jc w:val="left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自来供水，由镇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区自来</w:t>
                  </w: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水厂供水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0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消防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left="57"/>
                    <w:jc w:val="left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在厂区设置适当数量的室外消火栓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eastAsia="zh-CN"/>
                    </w:rPr>
                    <w:t>；在变配电间等适当部位配置一定数量的灭火器。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3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排水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ind w:left="57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  <w:shd w:val="clear" w:color="auto" w:fill="auto"/>
                    </w:rPr>
                    <w:t>厂区排水采用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  <w:shd w:val="clear" w:color="auto" w:fill="auto"/>
                      <w:lang w:val="en-US" w:eastAsia="zh-CN"/>
                    </w:rPr>
                    <w:t>雨污分流制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625" w:type="dxa"/>
                  <w:vMerge w:val="restart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配套工程</w:t>
                  </w: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综合用房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left="57"/>
                    <w:jc w:val="left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主要包括设备自控室、加药间、在线监控室等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0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绿化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spacing w:line="360" w:lineRule="exact"/>
                    <w:jc w:val="both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用绿化带与周围地区分隔，构建筑物间隙亦用绿化点缀分隔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5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检查井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eastAsia="zh-CN"/>
                    </w:rPr>
                    <w:t>、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沉泥井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spacing w:line="360" w:lineRule="exact"/>
                    <w:jc w:val="both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检查井设在管道交汇处、转弯处、管径和坡度变化处、跌处和直线管段上每隔一定的距离处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625" w:type="dxa"/>
                  <w:vMerge w:val="restart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环保工程</w:t>
                  </w: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污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水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处理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spacing w:line="360" w:lineRule="exact"/>
                    <w:jc w:val="both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污水处理构筑物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废气处理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spacing w:line="360" w:lineRule="exact"/>
                    <w:jc w:val="both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加强通风，注意厂区卫生，种植绿化树种；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6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before="31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噪声处理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spacing w:line="360" w:lineRule="exact"/>
                    <w:jc w:val="both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隔声减震、围墙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7" w:hRule="atLeast"/>
                <w:jc w:val="center"/>
              </w:trPr>
              <w:tc>
                <w:tcPr>
                  <w:tcW w:w="625" w:type="dxa"/>
                  <w:vMerge w:val="continue"/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</w:p>
              </w:tc>
              <w:tc>
                <w:tcPr>
                  <w:tcW w:w="1272" w:type="dxa"/>
                  <w:vAlign w:val="center"/>
                </w:tcPr>
                <w:p>
                  <w:pPr>
                    <w:pStyle w:val="32"/>
                    <w:spacing w:before="32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固废处理</w:t>
                  </w:r>
                </w:p>
              </w:tc>
              <w:tc>
                <w:tcPr>
                  <w:tcW w:w="6275" w:type="dxa"/>
                  <w:vAlign w:val="center"/>
                </w:tcPr>
                <w:p>
                  <w:pPr>
                    <w:pStyle w:val="32"/>
                    <w:spacing w:line="360" w:lineRule="exact"/>
                    <w:jc w:val="both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垃圾收集桶；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eastAsia="zh-CN"/>
                    </w:rPr>
                    <w:t>固废暂存</w:t>
                  </w:r>
                  <w:r>
                    <w:rPr>
                      <w:rFonts w:ascii="Times New Roman" w:hAnsi="Times New Roman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堆场</w:t>
                  </w:r>
                </w:p>
              </w:tc>
              <w:tc>
                <w:tcPr>
                  <w:tcW w:w="744" w:type="dxa"/>
                  <w:vAlign w:val="center"/>
                </w:tcPr>
                <w:p>
                  <w:pPr>
                    <w:pStyle w:val="32"/>
                    <w:spacing w:before="68" w:line="360" w:lineRule="exact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</w:pPr>
                  <w:r>
                    <w:rPr>
                      <w:rFonts w:hint="eastAsia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一致</w:t>
                  </w:r>
                </w:p>
              </w:tc>
            </w:tr>
          </w:tbl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本项目主要生产设备见下表：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 xml:space="preserve">   项目主要生产设备配置一览表</w:t>
            </w:r>
          </w:p>
          <w:tbl>
            <w:tblPr>
              <w:tblStyle w:val="20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4"/>
              <w:gridCol w:w="1880"/>
              <w:gridCol w:w="4086"/>
              <w:gridCol w:w="570"/>
              <w:gridCol w:w="570"/>
              <w:gridCol w:w="7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构筑物名称</w:t>
                  </w: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设备名称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技术参数及规格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数量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Merge w:val="restart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highlight w:val="none"/>
                      <w:u w:val="none"/>
                    </w:rPr>
                    <w:t>格栅渠</w:t>
                  </w: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回转式粗格栅清污机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安装角75°，栅条间距20mm，沟深4.5m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，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沟宽0.8m，N=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1.1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kw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回转式细格栅清污机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 xml:space="preserve">安装角75°，栅条间距 5mm，沟深 4.5m 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，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沟宽0.8m ，N=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1.1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kw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2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栅渣小车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vertAlign w:val="superscript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有效容积0.25m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vertAlign w:val="superscript"/>
                      <w:lang w:val="en-US" w:eastAsia="zh-CN"/>
                    </w:rPr>
                    <w:t>3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2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058" w:type="dxa"/>
                  <w:vMerge w:val="continue"/>
                  <w:tcBorders>
                    <w:bottom w:val="single" w:color="000000" w:sz="8" w:space="0"/>
                  </w:tcBorders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方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闸门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 xml:space="preserve">B×H=0.4×0.4m，配手动启闭装置 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2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Merge w:val="restart"/>
                  <w:tcBorders>
                    <w:top w:val="single" w:color="000000" w:sz="8" w:space="0"/>
                  </w:tcBorders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沉砂池及调节池</w:t>
                  </w: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潜污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泵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Q=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8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m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vertAlign w:val="superscript"/>
                      <w:lang w:val="en-US" w:eastAsia="zh-CN" w:bidi="ar"/>
                    </w:rPr>
                    <w:t xml:space="preserve">3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/h，H=1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m，N=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1.1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 xml:space="preserve">kW 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2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1用1备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潜水搅拌机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叶轮直径260mm，转速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72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0rpm，N=0.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 xml:space="preserve">5kW 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2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2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潜水式排砂泵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及砂水分离器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Q=10m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vertAlign w:val="superscript"/>
                      <w:lang w:val="en-US" w:eastAsia="zh-CN" w:bidi="ar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 xml:space="preserve"> /h，H=10m，N=0.75kW 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；5~12L/s，N=0.37KW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手动闸阀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DN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0，PN1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3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止回阀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DN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0，PN1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3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u w:val="none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手动闸阀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DN100，PN10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3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2" w:hRule="atLeast"/>
                <w:jc w:val="center"/>
              </w:trPr>
              <w:tc>
                <w:tcPr>
                  <w:tcW w:w="1058" w:type="dxa"/>
                  <w:vMerge w:val="continue"/>
                  <w:tcBorders>
                    <w:bottom w:val="single" w:color="000000" w:sz="8" w:space="0"/>
                  </w:tcBorders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tcBorders>
                    <w:bottom w:val="single" w:color="000000" w:sz="8" w:space="0"/>
                  </w:tcBorders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橡胶软接头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DN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3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2" w:hRule="atLeast"/>
                <w:jc w:val="center"/>
              </w:trPr>
              <w:tc>
                <w:tcPr>
                  <w:tcW w:w="1058" w:type="dxa"/>
                  <w:vMerge w:val="restart"/>
                  <w:tcBorders>
                    <w:top w:val="single" w:color="000000" w:sz="8" w:space="0"/>
                  </w:tcBorders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污泥池</w:t>
                  </w:r>
                </w:p>
              </w:tc>
              <w:tc>
                <w:tcPr>
                  <w:tcW w:w="1927" w:type="dxa"/>
                  <w:tcBorders>
                    <w:top w:val="single" w:color="000000" w:sz="8" w:space="0"/>
                  </w:tcBorders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潜水污泥泵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Q=10m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/h，H=1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0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m，N=0.75kW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手动蝶阀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DN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，PN10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软接头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DN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，PN10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2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缓闭止回阀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DN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，PN10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一体化设备</w:t>
                  </w: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/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配套混合液回流，鼓风曝气装置，总功率 N=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3.25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KW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套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2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8" w:hRule="atLeast"/>
                <w:jc w:val="center"/>
              </w:trPr>
              <w:tc>
                <w:tcPr>
                  <w:tcW w:w="105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紫外消毒渠</w:t>
                  </w: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紫外线消毒设备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总功率 N=0.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72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kW，配套灯管及镇流器、控制系统、自动清洗系统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套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远期</w:t>
                  </w:r>
                </w:p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增加</w:t>
                  </w:r>
                </w:p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一台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2" w:hRule="atLeast"/>
                <w:jc w:val="center"/>
              </w:trPr>
              <w:tc>
                <w:tcPr>
                  <w:tcW w:w="1058" w:type="dxa"/>
                  <w:vMerge w:val="restart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计量槽</w:t>
                  </w: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巴氏计量槽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计量范围1.5~100L/s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台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1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u w:val="none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超声波液位计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/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个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8" w:hRule="atLeast"/>
                <w:jc w:val="center"/>
              </w:trPr>
              <w:tc>
                <w:tcPr>
                  <w:tcW w:w="1058" w:type="dxa"/>
                  <w:vMerge w:val="restart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综合管理用房</w:t>
                  </w: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PAC加药装置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有效容积 1m3，配套搅拌机及计量泵，总功率 N=1.5KW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套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8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highlight w:val="none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自闭式冲洗阀蹲式大便器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highlight w:val="none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陶瓷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highlight w:val="none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套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highlight w:val="none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洗手台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highlight w:val="none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带水龙头，陶瓷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highlight w:val="none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套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highlight w:val="none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2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拖布池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带水龙头，陶瓷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套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" w:hRule="atLeast"/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地漏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DN50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个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截止阀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DN40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个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PE给水管用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58" w:type="dxa"/>
                  <w:vMerge w:val="continue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1927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二氧化碳灭火器</w:t>
                  </w:r>
                </w:p>
              </w:tc>
              <w:tc>
                <w:tcPr>
                  <w:tcW w:w="4173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MT5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具</w:t>
                  </w:r>
                </w:p>
              </w:tc>
              <w:tc>
                <w:tcPr>
                  <w:tcW w:w="575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  <w:t>2</w:t>
                  </w:r>
                </w:p>
              </w:tc>
              <w:tc>
                <w:tcPr>
                  <w:tcW w:w="788" w:type="dxa"/>
                  <w:vAlign w:val="center"/>
                </w:tcPr>
                <w:p>
                  <w:pPr>
                    <w:pStyle w:val="3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highlight w:val="none"/>
                      <w:u w:val="none"/>
                      <w:lang w:val="en-US" w:eastAsia="zh-CN"/>
                    </w:rPr>
                  </w:pPr>
                </w:p>
              </w:tc>
            </w:tr>
          </w:tbl>
          <w:p>
            <w:pPr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本次竣工验收范围：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湘阴湘滨镇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污水处理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（处理规模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00m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  <w:t>/d）建设项目的主体污水处理系统及其配套设施。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8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原辅材料消耗及水平衡：</w:t>
            </w:r>
          </w:p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1、原辅材料消耗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本项目主要原辅料消耗情况见下表。</w:t>
            </w:r>
          </w:p>
          <w:p>
            <w:pPr>
              <w:spacing w:line="360" w:lineRule="auto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 xml:space="preserve">  项目原辅料消耗情况表</w:t>
            </w:r>
          </w:p>
          <w:tbl>
            <w:tblPr>
              <w:tblStyle w:val="19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30"/>
              <w:gridCol w:w="1092"/>
              <w:gridCol w:w="1081"/>
              <w:gridCol w:w="1060"/>
              <w:gridCol w:w="2324"/>
              <w:gridCol w:w="1820"/>
              <w:gridCol w:w="889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  <w:t>名称</w:t>
                  </w:r>
                </w:p>
              </w:tc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  <w:t>环评设计年消耗量</w:t>
                  </w:r>
                </w:p>
              </w:tc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  <w:t>实际年消耗量</w:t>
                  </w:r>
                </w:p>
              </w:tc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  <w:t>验收期间消耗量（</w:t>
                  </w:r>
                  <w:r>
                    <w:rPr>
                      <w:rFonts w:hint="eastAsia" w:cs="Times New Roman"/>
                      <w:b/>
                      <w:bCs/>
                      <w:color w:val="auto"/>
                      <w:highlight w:val="none"/>
                      <w:lang w:val="en-US" w:eastAsia="zh-CN"/>
                    </w:rPr>
                    <w:t>6.4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  <w:t>）</w:t>
                  </w:r>
                </w:p>
              </w:tc>
              <w:tc>
                <w:tcPr>
                  <w:tcW w:w="182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  <w:t>验收期间消耗量（</w:t>
                  </w:r>
                  <w:r>
                    <w:rPr>
                      <w:rFonts w:hint="eastAsia" w:cs="Times New Roman"/>
                      <w:b/>
                      <w:bCs/>
                      <w:color w:val="auto"/>
                      <w:highlight w:val="none"/>
                      <w:lang w:val="en-US" w:eastAsia="zh-CN"/>
                    </w:rPr>
                    <w:t>6.5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highlight w:val="none"/>
                      <w:lang w:eastAsia="zh-CN"/>
                    </w:rPr>
                    <w:t>）</w:t>
                  </w:r>
                </w:p>
              </w:tc>
              <w:tc>
                <w:tcPr>
                  <w:tcW w:w="88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lang w:eastAsia="zh-CN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lang w:eastAsia="zh-CN"/>
                    </w:rPr>
                    <w:t>1</w:t>
                  </w:r>
                </w:p>
              </w:tc>
              <w:tc>
                <w:tcPr>
                  <w:tcW w:w="109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</w:rPr>
                    <w:t>聚丙烯酰胺（PAM）</w:t>
                  </w:r>
                </w:p>
              </w:tc>
              <w:tc>
                <w:tcPr>
                  <w:tcW w:w="108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</w:rPr>
                    <w:t>0.146</w:t>
                  </w: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  <w:lang w:val="en-US" w:eastAsia="zh-CN"/>
                    </w:rPr>
                    <w:t>t</w:t>
                  </w:r>
                </w:p>
              </w:tc>
              <w:tc>
                <w:tcPr>
                  <w:tcW w:w="106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</w:rPr>
                    <w:t>0.146</w:t>
                  </w: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  <w:lang w:val="en-US" w:eastAsia="zh-CN"/>
                    </w:rPr>
                    <w:t>t</w:t>
                  </w:r>
                </w:p>
              </w:tc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kg</w:t>
                  </w:r>
                </w:p>
              </w:tc>
              <w:tc>
                <w:tcPr>
                  <w:tcW w:w="182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kg</w:t>
                  </w:r>
                </w:p>
              </w:tc>
              <w:tc>
                <w:tcPr>
                  <w:tcW w:w="88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lang w:eastAsia="zh-CN"/>
                    </w:rPr>
                    <w:t>外购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lang w:val="en-US" w:eastAsia="zh-CN"/>
                    </w:rPr>
                    <w:t>2</w:t>
                  </w:r>
                </w:p>
              </w:tc>
              <w:tc>
                <w:tcPr>
                  <w:tcW w:w="109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</w:rPr>
                    <w:t>聚合氯化铝（PAC）</w:t>
                  </w:r>
                </w:p>
              </w:tc>
              <w:tc>
                <w:tcPr>
                  <w:tcW w:w="108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</w:rPr>
                    <w:t>1.46</w:t>
                  </w: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  <w:lang w:val="en-US" w:eastAsia="zh-CN"/>
                    </w:rPr>
                    <w:t>t</w:t>
                  </w:r>
                </w:p>
              </w:tc>
              <w:tc>
                <w:tcPr>
                  <w:tcW w:w="106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460" w:lineRule="exact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</w:rPr>
                    <w:t>1.46</w:t>
                  </w:r>
                  <w:r>
                    <w:rPr>
                      <w:rFonts w:hint="eastAsia"/>
                      <w:bCs/>
                      <w:color w:val="auto"/>
                      <w:sz w:val="21"/>
                      <w:szCs w:val="24"/>
                      <w:highlight w:val="none"/>
                      <w:shd w:val="clear" w:color="auto" w:fill="auto"/>
                      <w:lang w:val="en-US" w:eastAsia="zh-CN"/>
                    </w:rPr>
                    <w:t>t</w:t>
                  </w:r>
                </w:p>
              </w:tc>
              <w:tc>
                <w:tcPr>
                  <w:tcW w:w="0" w:type="auto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t</w:t>
                  </w:r>
                </w:p>
              </w:tc>
              <w:tc>
                <w:tcPr>
                  <w:tcW w:w="182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t</w:t>
                  </w:r>
                </w:p>
              </w:tc>
              <w:tc>
                <w:tcPr>
                  <w:tcW w:w="88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3"/>
                    <w:rPr>
                      <w:rFonts w:hint="default" w:ascii="Times New Roman" w:hAnsi="Times New Roman" w:eastAsia="宋体" w:cs="Times New Roman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lang w:eastAsia="zh-CN"/>
                    </w:rPr>
                    <w:t>外购</w:t>
                  </w:r>
                </w:p>
              </w:tc>
            </w:tr>
          </w:tbl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水平衡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验收期间项目水平衡间下表：</w:t>
            </w:r>
          </w:p>
          <w:p>
            <w:pPr>
              <w:spacing w:line="360" w:lineRule="auto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 xml:space="preserve">  项目水平衡一览表</w:t>
            </w:r>
          </w:p>
          <w:tbl>
            <w:tblPr>
              <w:tblStyle w:val="20"/>
              <w:tblW w:w="4996" w:type="pct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955"/>
              <w:gridCol w:w="987"/>
              <w:gridCol w:w="987"/>
              <w:gridCol w:w="991"/>
              <w:gridCol w:w="989"/>
              <w:gridCol w:w="989"/>
              <w:gridCol w:w="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604" w:hRule="atLeast"/>
              </w:trPr>
              <w:tc>
                <w:tcPr>
                  <w:tcW w:w="166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eastAsia="zh-CN"/>
                    </w:rPr>
                    <w:t>项目</w:t>
                  </w:r>
                </w:p>
              </w:tc>
              <w:tc>
                <w:tcPr>
                  <w:tcW w:w="1667" w:type="pct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eastAsia="zh-CN"/>
                    </w:rPr>
                    <w:t>给水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val="en-US" w:eastAsia="zh-CN"/>
                    </w:rPr>
                    <w:t>（</w:t>
                  </w:r>
                  <w:r>
                    <w:rPr>
                      <w:rFonts w:hint="eastAsia" w:cs="Times New Roman"/>
                      <w:b/>
                      <w:bCs/>
                      <w:sz w:val="21"/>
                      <w:szCs w:val="21"/>
                      <w:lang w:val="en-US" w:eastAsia="zh-CN"/>
                    </w:rPr>
                    <w:t>t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  <w:t>/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lang w:val="en-US" w:eastAsia="zh-CN"/>
                    </w:rPr>
                    <w:t>d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val="en-US" w:eastAsia="zh-CN"/>
                    </w:rPr>
                    <w:t>）</w:t>
                  </w:r>
                </w:p>
              </w:tc>
              <w:tc>
                <w:tcPr>
                  <w:tcW w:w="1669" w:type="pct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eastAsia="zh-CN"/>
                    </w:rPr>
                    <w:t>排水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val="en-US" w:eastAsia="zh-CN"/>
                    </w:rPr>
                    <w:t>（</w:t>
                  </w:r>
                  <w:r>
                    <w:rPr>
                      <w:rFonts w:hint="eastAsia" w:cs="Times New Roman"/>
                      <w:b/>
                      <w:bCs/>
                      <w:sz w:val="21"/>
                      <w:szCs w:val="21"/>
                      <w:lang w:val="en-US" w:eastAsia="zh-CN"/>
                    </w:rPr>
                    <w:t>t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  <w:t>/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lang w:val="en-US" w:eastAsia="zh-CN"/>
                    </w:rPr>
                    <w:t>d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  <w:vertAlign w:val="baseline"/>
                      <w:lang w:val="en-US" w:eastAsia="zh-CN"/>
                    </w:rPr>
                    <w:t>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166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  <w:t>日期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6.4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6.5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  <w:t>平均</w:t>
                  </w:r>
                </w:p>
              </w:tc>
              <w:tc>
                <w:tcPr>
                  <w:tcW w:w="96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6.4</w:t>
                  </w:r>
                </w:p>
              </w:tc>
              <w:tc>
                <w:tcPr>
                  <w:tcW w:w="96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6.5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  <w:t>平均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6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  <w:t>生活污水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0.1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0.1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0.1</w:t>
                  </w:r>
                </w:p>
              </w:tc>
              <w:tc>
                <w:tcPr>
                  <w:tcW w:w="55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0.</w:t>
                  </w: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08</w:t>
                  </w:r>
                </w:p>
              </w:tc>
              <w:tc>
                <w:tcPr>
                  <w:tcW w:w="55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0.</w:t>
                  </w: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08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0.</w:t>
                  </w: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08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6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  <w:t>配药用水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2.4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2.2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2.3</w:t>
                  </w:r>
                </w:p>
              </w:tc>
              <w:tc>
                <w:tcPr>
                  <w:tcW w:w="55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2.4</w:t>
                  </w:r>
                </w:p>
              </w:tc>
              <w:tc>
                <w:tcPr>
                  <w:tcW w:w="55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2.2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2.3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66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  <w:t>湘滨镇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  <w:t>市政污水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250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290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270</w:t>
                  </w:r>
                </w:p>
              </w:tc>
              <w:tc>
                <w:tcPr>
                  <w:tcW w:w="96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250</w:t>
                  </w:r>
                </w:p>
              </w:tc>
              <w:tc>
                <w:tcPr>
                  <w:tcW w:w="962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290</w:t>
                  </w:r>
                </w:p>
              </w:tc>
              <w:tc>
                <w:tcPr>
                  <w:tcW w:w="963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270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4" w:hRule="atLeast"/>
              </w:trPr>
              <w:tc>
                <w:tcPr>
                  <w:tcW w:w="166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eastAsia="zh-CN"/>
                    </w:rPr>
                    <w:t>总计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252.5</w:t>
                  </w:r>
                </w:p>
              </w:tc>
              <w:tc>
                <w:tcPr>
                  <w:tcW w:w="55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292.3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272.4</w:t>
                  </w:r>
                </w:p>
              </w:tc>
              <w:tc>
                <w:tcPr>
                  <w:tcW w:w="55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252.48</w:t>
                  </w:r>
                </w:p>
              </w:tc>
              <w:tc>
                <w:tcPr>
                  <w:tcW w:w="55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292.28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vertAlign w:val="baseline"/>
                      <w:lang w:val="en-US" w:eastAsia="zh-CN"/>
                    </w:rPr>
                    <w:t>272.38</w:t>
                  </w:r>
                </w:p>
              </w:tc>
            </w:tr>
          </w:tbl>
          <w:p>
            <w:pPr>
              <w:pStyle w:val="6"/>
              <w:spacing w:before="8" w:line="220" w:lineRule="auto"/>
              <w:ind w:right="157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-3"/>
                <w:sz w:val="21"/>
                <w:szCs w:val="21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3782695</wp:posOffset>
                      </wp:positionH>
                      <wp:positionV relativeFrom="paragraph">
                        <wp:posOffset>1072515</wp:posOffset>
                      </wp:positionV>
                      <wp:extent cx="715645" cy="262890"/>
                      <wp:effectExtent l="0" t="0" r="635" b="1143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5645" cy="262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272.38t/d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97.85pt;margin-top:84.45pt;height:20.7pt;width:56.35pt;z-index:251692032;v-text-anchor:middle;mso-width-relative:page;mso-height-relative:page;" fillcolor="#FFFFFF [3212]" filled="t" stroked="f" coordsize="21600,21600" o:gfxdata="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V4dhfXAAAACwEAAA8AAAAAAAAA&#10;AQAgAAAAIgAAAGRycy9kb3ducmV2LnhtbFBLAQIUABQAAAAIAIdO4kDhAXIhSwIAAHIEAAAOAAAA&#10;AAAAAAEAIAAAACYBAABkcnMvZTJvRG9jLnhtbFBLBQYAAAAABgAGAFkBAADjBQAAAAA=&#10;">
                      <v:fill on="t" focussize="0,0"/>
                      <v:stroke on="f" weight="2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272.38t/d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4728210</wp:posOffset>
                      </wp:positionH>
                      <wp:positionV relativeFrom="paragraph">
                        <wp:posOffset>1002030</wp:posOffset>
                      </wp:positionV>
                      <wp:extent cx="692785" cy="623570"/>
                      <wp:effectExtent l="4445" t="4445" r="19050" b="12065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2785" cy="623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cs="Times New Roman"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cs="Times New Roman"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栗塘社区农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default"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cs="Times New Roman"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田灌溉渠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72.3pt;margin-top:78.9pt;height:49.1pt;width:54.55pt;z-index:251726848;v-text-anchor:middle;mso-width-relative:page;mso-height-relative:page;" fillcolor="#FFFFFF [3212]" filled="t" stroked="t" coordsize="21600,21600" o:gfxdata="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Fd4hOTbAAAACwEA&#10;AA8AAAAAAAAAAQAgAAAAIgAAAGRycy9kb3ducmV2LnhtbFBLAQIUABQAAAAIAIdO4kD60JESUAIA&#10;AJoEAAAOAAAAAAAAAAEAIAAAACoBAABkcnMvZTJvRG9jLnhtbFBLBQYAAAAABgAGAFkBAADsBQAA&#10;AAA=&#10;">
                      <v:fill on="t" focussize="0,0"/>
                      <v:stroke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cs="Times New Roman"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cs="Times New Roman"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栗塘社区农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cs="Times New Roman"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田灌溉渠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2252345</wp:posOffset>
                      </wp:positionH>
                      <wp:positionV relativeFrom="paragraph">
                        <wp:posOffset>1790065</wp:posOffset>
                      </wp:positionV>
                      <wp:extent cx="715645" cy="262890"/>
                      <wp:effectExtent l="0" t="0" r="63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368675" y="8837930"/>
                                <a:ext cx="715645" cy="262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US" w:eastAsia="zh-CN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270t/d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7.35pt;margin-top:140.95pt;height:20.7pt;width:56.35pt;z-index:251674624;v-text-anchor:middle;mso-width-relative:page;mso-height-relative:page;" fillcolor="#FFFFFF [3212]" filled="t" stroked="f" coordsize="21600,21600" o:gfxdata="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PyFglvXAAAACwEA&#10;AA8AAAAAAAAAAQAgAAAAIgAAAGRycy9kb3ducmV2LnhtbFBLAQIUABQAAAAIAIdO4kDFu+l3VAIA&#10;AHwEAAAOAAAAAAAAAAEAIAAAACYBAABkcnMvZTJvRG9jLnhtbFBLBQYAAAAABgAGAFkBAADsBQAA&#10;AAA=&#10;">
                      <v:fill on="t" focussize="0,0"/>
                      <v:stroke on="f" weight="2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270t/d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drawing>
                <wp:inline distT="0" distB="0" distL="114300" distR="114300">
                  <wp:extent cx="5391150" cy="23241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1150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spacing w:before="8" w:line="220" w:lineRule="auto"/>
              <w:ind w:right="157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图1  项目水平衡图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主要工艺流程及产污环节：</w:t>
            </w:r>
          </w:p>
          <w:p>
            <w:pPr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本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项目是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val="en-US" w:eastAsia="zh-CN"/>
              </w:rPr>
              <w:t>城镇生活污水处理厂项目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，主要处理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湘阴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湘滨镇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市政污水。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湘阴湘滨镇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污水处理厂采用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eastAsia="zh-CN"/>
              </w:rPr>
              <w:t>粗格栅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val="en-US" w:eastAsia="zh-CN"/>
              </w:rPr>
              <w:t>+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  <w:t>调节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val="en-US" w:eastAsia="zh-CN"/>
              </w:rPr>
              <w:t>/沉砂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  <w:t>池+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eastAsia="zh-CN"/>
              </w:rPr>
              <w:t>厌氧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val="en-US" w:eastAsia="zh-CN"/>
              </w:rPr>
              <w:t>/缺氧/MBBR</w:t>
            </w:r>
            <w:r>
              <w:rPr>
                <w:rFonts w:hint="eastAsia" w:cs="Times New Roman"/>
                <w:color w:val="auto"/>
                <w:sz w:val="28"/>
                <w:szCs w:val="28"/>
                <w:u w:val="none" w:color="auto"/>
                <w:lang w:val="en-US" w:eastAsia="zh-CN"/>
              </w:rPr>
              <w:t>一体化设备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  <w:t>+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eastAsia="zh-CN"/>
              </w:rPr>
              <w:t>生化沉淀池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  <w:lang w:val="en-US" w:eastAsia="zh-CN"/>
              </w:rPr>
              <w:t>+管道式紫外消毒+巴氏计量槽+出水</w:t>
            </w:r>
            <w:r>
              <w:rPr>
                <w:rFonts w:hint="eastAsia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  <w:t>”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具体污水处理工艺见下图：</w:t>
            </w:r>
          </w:p>
          <w:p>
            <w:pPr>
              <w:spacing w:line="360" w:lineRule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drawing>
                <wp:inline distT="0" distB="0" distL="114300" distR="114300">
                  <wp:extent cx="4629150" cy="2362200"/>
                  <wp:effectExtent l="0" t="0" r="3810" b="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150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spacing w:before="8" w:line="220" w:lineRule="auto"/>
              <w:ind w:right="157" w:firstLine="41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图2  本项目污水处理流程及产污环节示意图</w:t>
            </w:r>
          </w:p>
          <w:p>
            <w:pPr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主要工艺说明：</w:t>
            </w:r>
          </w:p>
          <w:p>
            <w:pPr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主要工艺说明：</w:t>
            </w:r>
          </w:p>
          <w:p>
            <w:pPr>
              <w:spacing w:line="360" w:lineRule="auto"/>
              <w:ind w:firstLine="560" w:firstLineChars="200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  <w:t>污水经市政污水管网收集后进入厂区组合池格栅渠，经格栅处理去除污水中较大的杂物以防止堵塞提升泵，之后污水自流进入组合池的调节池以调节水量水质，出水经配水后均匀进入一体化设备AAO生化池和沉淀池，经沉淀池沉淀作用实现生化池的活性污泥与上清液分离，上清液溢流进入一体化设备内置的过滤模块，在过滤作用下将磷与SS等进一步去除以达到一级A的出水标准。过滤后的清水经紫外消毒，以杀死污水中存在的有害微生物，出水进出水计量槽计量后达标外排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u w:val="none" w:color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u w:val="none" w:color="auto"/>
                <w:lang w:val="en-US" w:eastAsia="zh-CN" w:bidi="ar"/>
              </w:rPr>
              <w:t>AA/O+MBBR</w:t>
            </w: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8"/>
                <w:szCs w:val="28"/>
                <w:u w:val="none" w:color="auto"/>
                <w:lang w:val="en-US" w:eastAsia="zh-CN" w:bidi="ar"/>
              </w:rPr>
              <w:t>+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u w:val="none" w:color="auto"/>
                <w:lang w:val="en-US" w:eastAsia="zh-CN" w:bidi="ar"/>
              </w:rPr>
              <w:t>沉淀</w:t>
            </w: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8"/>
                <w:szCs w:val="28"/>
                <w:u w:val="none" w:color="auto"/>
                <w:lang w:val="en-US" w:eastAsia="zh-CN" w:bidi="ar"/>
              </w:rPr>
              <w:t>一体化设备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u w:val="none" w:color="auto"/>
                <w:lang w:val="en-US" w:eastAsia="zh-CN" w:bidi="ar"/>
              </w:rPr>
              <w:t>、系统产生的污泥通过污泥泵排至污泥储存池，然后通过污泥罐车运输至南湖洲镇污水处理厂进行处理，运至砖厂制砖。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u w:val="none" w:color="auto"/>
                <w:lang w:val="en-US" w:eastAsia="zh-CN" w:bidi="ar"/>
              </w:rPr>
              <w:br w:type="textWrapping"/>
            </w:r>
          </w:p>
        </w:tc>
      </w:tr>
    </w:tbl>
    <w:p>
      <w:pPr>
        <w:pStyle w:val="6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</w:p>
    <w:p>
      <w:pPr>
        <w:pStyle w:val="6"/>
        <w:spacing w:before="8" w:line="220" w:lineRule="auto"/>
        <w:ind w:right="157"/>
        <w:jc w:val="both"/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  <w:t>表三</w:t>
      </w:r>
    </w:p>
    <w:tbl>
      <w:tblPr>
        <w:tblStyle w:val="19"/>
        <w:tblW w:w="5555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1" w:hRule="atLeast"/>
          <w:jc w:val="center"/>
        </w:trPr>
        <w:tc>
          <w:tcPr>
            <w:tcW w:w="5000" w:type="pct"/>
          </w:tcPr>
          <w:p>
            <w:pPr>
              <w:spacing w:line="360" w:lineRule="auto"/>
              <w:rPr>
                <w:rFonts w:hint="default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lang w:eastAsia="zh-CN"/>
              </w:rPr>
              <w:t>主要污染源、污染物处理和排放（附处理流程示意图，标出废水、废气、厂界噪声监测点位）：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依据项目环境影响评价及环评批复，本项目主要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污物产生、防治措施、排放情况见下表：</w:t>
            </w: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表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项目主要污染物产生、防治措施、排放方式一览表</w:t>
            </w:r>
          </w:p>
          <w:tbl>
            <w:tblPr>
              <w:tblStyle w:val="20"/>
              <w:tblW w:w="4996" w:type="pct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31"/>
              <w:gridCol w:w="1534"/>
              <w:gridCol w:w="1534"/>
              <w:gridCol w:w="1534"/>
              <w:gridCol w:w="1540"/>
              <w:gridCol w:w="1542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污染类别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污染源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污染因子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防治措施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环评要求排放方式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排放方式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废水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1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厂内生活废水+乡镇生活废水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pH、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vertAlign w:val="subscript"/>
                    </w:rPr>
                    <w:t>5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、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  <w:t>SS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、动植物油、石油类、阴离子表面活性剂、TN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  <w:t>TP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eastAsia="zh-CN"/>
                    </w:rPr>
                    <w:t>、色度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、粪大肠菌群数、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  <w:t>CODCr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eastAsia="zh-CN"/>
                    </w:rPr>
                    <w:t>、氨氮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AAO+MBBR</w:t>
                  </w: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一体化设备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至</w:t>
                  </w: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栗塘社区农田灌溉渠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至</w:t>
                  </w: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栗塘社区农田灌溉渠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废气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格栅、污泥池、AAO+MBBR池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NH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vertAlign w:val="subscript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、H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vertAlign w:val="subscript"/>
                      <w:lang w:val="en-US" w:eastAsia="zh-CN"/>
                    </w:rPr>
                    <w:t>2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S、臭气浓度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加强厂区绿化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无组织排放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无组织排放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噪声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1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水泵、鼓风机等机械设备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等效声级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选用低噪设备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固废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污泥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运输至</w:t>
                  </w: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南湖洲镇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污水处理厂处理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运输至</w:t>
                  </w: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南湖洲镇</w:t>
                  </w: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污水处理厂处理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紫外灯管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交资质单位处理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交资质单位处理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栅渣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环卫部门清运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环卫部门清运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生活垃圾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环卫部门清运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环卫部门清运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3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沉沙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3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环卫部门清运</w:t>
                  </w:r>
                </w:p>
              </w:tc>
              <w:tc>
                <w:tcPr>
                  <w:tcW w:w="83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环卫部门清运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textAlignment w:val="auto"/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  <w:t>污泥处置可行性分析：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湘阴中源环保科技有限公司负责运营湘阴县南湖洲镇污水处理厂、湘阴县樟树镇污水处理厂、湘阴县鹤龙湖镇污水处理厂、湘阴县东塘镇污水处理厂、湘阴县三塘镇污水处理厂、湘阴县新泉镇污水处理厂、湘阴县湘滨镇污水处理厂、湘阴县杨林寨乡污水处理厂、湘阴县岭北镇污水处理厂、湘阴县六塘乡污水处理厂共计10个污水处理厂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其中湘阴县新泉镇污水处理厂、湘阴县湘滨镇污水处理厂、湘阴县杨林寨乡污水处理厂、湘阴县岭北镇污水处理厂，4个污水处理厂污泥运输至湘阴县南湖洲镇污水处理厂处理，各污水处理厂污泥产生量和处理量见下表。</w:t>
            </w:r>
          </w:p>
          <w:p>
            <w:pPr>
              <w:pStyle w:val="2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表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各污水处理厂污泥产生、处理量一览表</w:t>
            </w:r>
          </w:p>
          <w:tbl>
            <w:tblPr>
              <w:tblStyle w:val="20"/>
              <w:tblW w:w="0" w:type="auto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986"/>
              <w:gridCol w:w="2987"/>
              <w:gridCol w:w="2987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9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污水处理厂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污泥产生量（t/d）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污泥设计处理量（t/d）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南湖洲镇污水处理厂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1.26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新泉镇污水处理厂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0.26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湘滨镇污水处理厂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0.12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岭北镇污水处理厂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0.28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杨林寨乡污水处理厂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0.12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8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合计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2.04</w:t>
                  </w:r>
                </w:p>
              </w:tc>
              <w:tc>
                <w:tcPr>
                  <w:tcW w:w="298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经上表统计，1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个污水处理厂日产生污泥量为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2.04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吨，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湘阴县南湖洲镇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污水处理厂日污泥处理量最大值为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吨。能够满足各污水处理厂污泥处理要求。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80" w:firstLineChars="200"/>
              <w:jc w:val="center"/>
              <w:textAlignment w:val="auto"/>
            </w:pPr>
            <w:r>
              <w:drawing>
                <wp:inline distT="0" distB="0" distL="114300" distR="114300">
                  <wp:extent cx="4243070" cy="3345815"/>
                  <wp:effectExtent l="0" t="0" r="8890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3070" cy="3345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spacing w:before="8" w:line="220" w:lineRule="auto"/>
              <w:ind w:right="157" w:firstLine="41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图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 xml:space="preserve">3  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湘阴县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eastAsia="zh-CN"/>
              </w:rPr>
              <w:t>南湖洲镇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污水处理厂污泥脱水间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lang w:val="en-US" w:eastAsia="zh-CN"/>
              </w:rPr>
              <w:t>配套管网建设情况：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本项目配套管网设计收集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湘滨镇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市政污水，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全长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6.68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km。项目配套管网已经全部建成，管网周边居民生活污水均能收集至官网内流向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湘滨镇</w:t>
            </w:r>
            <w:r>
              <w:rPr>
                <w:rFonts w:hint="eastAsia" w:ascii="Times New Roman" w:hAnsi="Times New Roman" w:eastAsia="宋体"/>
                <w:sz w:val="28"/>
                <w:szCs w:val="28"/>
                <w:lang w:val="en-US" w:eastAsia="zh-CN"/>
              </w:rPr>
              <w:t>污水处理厂。</w:t>
            </w: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4201160" cy="5615940"/>
                  <wp:effectExtent l="0" t="0" r="5080" b="7620"/>
                  <wp:docPr id="17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1160" cy="5615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图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4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管网建设图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图</w:t>
            </w:r>
          </w:p>
          <w:p>
            <w:pPr>
              <w:pStyle w:val="2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废水、废气、噪声监测点位示意图：</w:t>
            </w:r>
          </w:p>
          <w:p>
            <w:pPr>
              <w:pStyle w:val="2"/>
              <w:rPr>
                <w:rFonts w:hint="default"/>
                <w:color w:val="00B0F0"/>
                <w:lang w:val="en-US" w:eastAsia="zh-CN"/>
              </w:rPr>
            </w:pPr>
          </w:p>
          <w:p>
            <w:pPr>
              <w:spacing w:line="386" w:lineRule="exact"/>
              <w:ind w:firstLine="42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426720</wp:posOffset>
                  </wp:positionH>
                  <wp:positionV relativeFrom="paragraph">
                    <wp:posOffset>-21590</wp:posOffset>
                  </wp:positionV>
                  <wp:extent cx="5354955" cy="2858770"/>
                  <wp:effectExtent l="0" t="0" r="9525" b="6350"/>
                  <wp:wrapTopAndBottom/>
                  <wp:docPr id="5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4955" cy="285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图</w:t>
            </w:r>
            <w:r>
              <w:rPr>
                <w:rFonts w:hint="eastAsia" w:cs="Times New Roman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项目监测点位示意图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1" w:hRule="atLeast"/>
          <w:jc w:val="center"/>
        </w:trPr>
        <w:tc>
          <w:tcPr>
            <w:tcW w:w="5000" w:type="pct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项目变更情况：</w:t>
            </w:r>
          </w:p>
          <w:p>
            <w:pPr>
              <w:pStyle w:val="2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表8 项目与环评情况变更对照表</w:t>
            </w:r>
          </w:p>
          <w:tbl>
            <w:tblPr>
              <w:tblStyle w:val="20"/>
              <w:tblW w:w="4998" w:type="pct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63"/>
              <w:gridCol w:w="2827"/>
              <w:gridCol w:w="282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项目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是否与环评一致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变更情况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建设位置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一致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无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原辅料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一致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无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处理规模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一致</w:t>
                  </w:r>
                </w:p>
              </w:tc>
              <w:tc>
                <w:tcPr>
                  <w:tcW w:w="153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无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项目建设内容</w:t>
                  </w:r>
                </w:p>
              </w:tc>
              <w:tc>
                <w:tcPr>
                  <w:tcW w:w="282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一致</w:t>
                  </w:r>
                </w:p>
              </w:tc>
              <w:tc>
                <w:tcPr>
                  <w:tcW w:w="282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无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3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污染源种类、处理及排放方式</w:t>
                  </w:r>
                </w:p>
              </w:tc>
              <w:tc>
                <w:tcPr>
                  <w:tcW w:w="2827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一致</w:t>
                  </w:r>
                </w:p>
              </w:tc>
              <w:tc>
                <w:tcPr>
                  <w:tcW w:w="2828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highlight w:val="none"/>
                      <w:u w:val="none" w:color="auto"/>
                      <w:vertAlign w:val="baseline"/>
                      <w:lang w:val="en-US" w:eastAsia="zh-CN" w:bidi="ar"/>
                    </w:rPr>
                    <w:t>无</w:t>
                  </w:r>
                </w:p>
              </w:tc>
            </w:tr>
          </w:tbl>
          <w:p>
            <w:pPr>
              <w:widowControl/>
              <w:spacing w:line="336" w:lineRule="auto"/>
              <w:ind w:firstLine="560" w:firstLineChars="200"/>
              <w:outlineLvl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4"/>
                <w:lang w:val="en-US" w:eastAsia="zh-CN"/>
              </w:rPr>
              <w:t>经过现场核实，项目实际建设情况与环评内容进行比对，本项目无重大变更项。</w:t>
            </w:r>
          </w:p>
        </w:tc>
      </w:tr>
    </w:tbl>
    <w:p>
      <w:pPr>
        <w:widowControl/>
        <w:autoSpaceDE/>
        <w:autoSpaceDN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</w:p>
    <w:p>
      <w:pPr>
        <w:pStyle w:val="6"/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sz w:val="28"/>
          <w:szCs w:val="28"/>
        </w:rPr>
        <w:t>表</w:t>
      </w:r>
      <w:r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  <w:t>四</w:t>
      </w:r>
    </w:p>
    <w:tbl>
      <w:tblPr>
        <w:tblStyle w:val="1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88" w:hRule="atLeast"/>
          <w:jc w:val="center"/>
        </w:trPr>
        <w:tc>
          <w:tcPr>
            <w:tcW w:w="9039" w:type="dxa"/>
          </w:tcPr>
          <w:p>
            <w:pPr>
              <w:pStyle w:val="6"/>
              <w:spacing w:line="484" w:lineRule="exact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建设项目环境影响报告主要结论及审批部门审批决定：</w:t>
            </w:r>
          </w:p>
          <w:p>
            <w:pPr>
              <w:spacing w:line="360" w:lineRule="auto"/>
              <w:ind w:firstLine="562" w:firstLineChars="200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eastAsia="zh-CN"/>
              </w:rPr>
              <w:t>环境影响报告表主要结论：</w:t>
            </w:r>
          </w:p>
          <w:p>
            <w:pPr>
              <w:pStyle w:val="6"/>
              <w:spacing w:line="360" w:lineRule="auto"/>
              <w:ind w:right="224"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①水环境影响分析结论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根据预测，本项目建成投产后，对整个下游河段污染物贡献值有削减。正常排污的情况下，污染物对栗塘社区灌溉渠的水质影响较小。经预测结果表明，本项目正常运行，处理后污水达标排放，本项目经处理达标后的污水排放不会对该区域用水安全造成危害。本项目属于污水收集处理工程，项目实施后可减少周边生活污水的直排，达标排放对水环境的影响总体而言将会减轻对区域水体的污染。然而，如若污水直排，因废水量增加，将会使排入栗塘社区灌溉渠的污染物量增加，本项目排污口下游的水质较现状会有一定恶化。因此，必须杜绝事故排放，确保污水处理厂正常运行。</w:t>
            </w:r>
          </w:p>
          <w:p>
            <w:pPr>
              <w:pStyle w:val="6"/>
              <w:spacing w:line="360" w:lineRule="auto"/>
              <w:ind w:right="224"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②大气环境影响分析结论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根据污水处理厂恶臭气体预测结果，污水处理厂臭气中氨气、硫化氢最大厂界浓度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为1.6477μg/m³，H2S最大厂界浓度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为0.0629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μg/m³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，从预测结果可以看出，本项目污水处理厂大气污染物的厂界浓度均能达到《工业企业设计卫生标准》（TJ36-79）限值、《城镇污水处理厂污染物排放标准》表4中二级标准值（氨：1.5mg/m³、硫化氢：0.06 mg/m³），对项目周边大气环境影响很小。</w:t>
            </w:r>
          </w:p>
          <w:p>
            <w:pPr>
              <w:pStyle w:val="6"/>
              <w:spacing w:line="360" w:lineRule="auto"/>
              <w:ind w:right="224"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③声环境影响分析结论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工程通过选取低噪声低能耗设备、对水泵、风机等高噪声设备进行机械阻尼隔振、加装隔声罩、消声器隔音降噪等措施后，经泵房墙体隔声和距离衰减，厂界噪声能符合标准要求。</w:t>
            </w:r>
          </w:p>
          <w:p>
            <w:pPr>
              <w:pStyle w:val="6"/>
              <w:spacing w:line="360" w:lineRule="auto"/>
              <w:ind w:right="224"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④固废环境影响分析结论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zh-CN" w:eastAsia="zh-CN"/>
              </w:rPr>
              <w:t>污水处理厂的固体废物主要来为格栅渣、沉沙物和污泥，以及职工的生活垃圾。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u w:val="none" w:color="auto"/>
                <w:lang w:val="en-US" w:eastAsia="zh-CN" w:bidi="ar"/>
              </w:rPr>
              <w:t>本项目污泥通过污泥罐车运输至南湖洲镇污水处理厂进行处理，运至砖厂制砖。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格栅渣与沉砂经除污压榨后与生活垃圾收集后交由环卫部门处置。因此，本项目的固废均得到合理处置，不会对环境产生影响。</w:t>
            </w:r>
          </w:p>
          <w:p>
            <w:pPr>
              <w:widowControl/>
              <w:spacing w:line="360" w:lineRule="auto"/>
              <w:ind w:firstLine="562" w:firstLineChars="200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 w:bidi="ar"/>
              </w:rPr>
              <w:t>审批部门审批决定：</w:t>
            </w:r>
          </w:p>
          <w:p>
            <w:pPr>
              <w:pStyle w:val="6"/>
              <w:spacing w:line="360" w:lineRule="auto"/>
              <w:ind w:right="224"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岳阳市生态环境局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湘阴分局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以“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湘阴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环评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批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〔20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〕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号”文件对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湘阴湘滨镇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污水处理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（处理规模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00m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/d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）建设项目环境影响报告表进行批复。批复的内容如下：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加强污染防治。项目建设及营运过程中，须全面落实环境影响报告表、专家意见及批复意见中提出的各项污染防治措施，并重点做好以下工作: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(一）加强施工期环境管理。认真做好施工期环境监理工作，开展管线施工区现有管道详查，根据路段情况规范施工;优化施工布局，严格控制施工时段，夜间和午休时间禁止高噪声设备施工作业;施工废水经沉淀处理后回用于洒水降尘，不外排;项目不设施工营地，不设取、弃土场和渣土堆场，建设垃圾由渣土管理部门处置;使用商品混凝土，施工场地采取覆盖、围档、洒水、清洗等措施，加强土石运输污染控制，避免工程施工期噪声、扬尘和水土流失对环境的影响，避免施工扰民。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(二）废水污染防治工作。严格按“雨污分流、污污分流”原则，规范建设厂区雨水及污水管网，做好污水管网密封防腐和各类池体及栅渣、污泥贮存场所防渗、防漏工作;厂内生活污水、生产废水经收集后通过提升泵回流于污水处理系统，出水水质均达到《城镇污水处理厂污染物排放标准》(GB18918-2002）表1一级A标准后经管道排入栗塘社区农田灌溉渠。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(三)废气污染防治工作。优化平面布局，加强厂区厂界绿化工作，产生的污泥及时清运，严格认真操作，加强自然通风，项目产生的氨气和硫化氢恶臭气体无组织排放须满足《城镇污水处理厂污染物排放标准》(GB18918-2002）表4中相关限值要求。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(四）噪声污染防治工作。选用低噪声丸械设备，污水泵、污泥泵、凤机等新增设备合理布局，并加强日常养护，做好基础减振、屏障、隔音、降噪等防治措施，确保厂界噪声达到《工业企业厂界环境噪声排放标准》(GB12348-2008)中2类标准后排放。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(五)固体废物污染防治工作。按照一般工业固体废物执行《一般工业固体废物贮存、处置场污染控制标准》（GB13599-2001）及2013年修改单要求，规范设置临时贮存场所、建立固体废物暂存、转运、处置全过程管理台账，污泥由运泥车定期输送至南湖洲镇污水处理厂进行脱水，然后运至砖厂综合利用、合理安排运输路线，杜绝污泥运输造成二次污染，污水处理的沉砂、栅渣等一般工业固体废物和生活垃圾交由当地环卫部门收集处理;废紫外线灯管属危险废物，经收集后交由有资质单位处理。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(</w:t>
            </w:r>
            <w:r>
              <w:rPr>
                <w:rFonts w:hint="eastAsia" w:cs="Times New Roman"/>
                <w:sz w:val="28"/>
                <w:szCs w:val="28"/>
                <w:lang w:val="en-US" w:eastAsia="zh-CN" w:bidi="ar"/>
              </w:rPr>
              <w:t>六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)加强环境风险防范工作。建立健全污染防治设施运行管理、监测制度及台账，配备专职的环保专干，严格按照《突发环境事件应急预案管理暂行办法》要求制定环境事故应急预案，加强各类风险防范措施，防止废水事故性风险排放，杜绝环境风险事故发生。</w:t>
            </w:r>
          </w:p>
          <w:p>
            <w:pPr>
              <w:widowControl/>
              <w:spacing w:line="360" w:lineRule="auto"/>
              <w:ind w:firstLine="560" w:firstLineChars="200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(</w:t>
            </w:r>
            <w:r>
              <w:rPr>
                <w:rFonts w:hint="eastAsia" w:cs="Times New Roman"/>
                <w:sz w:val="28"/>
                <w:szCs w:val="28"/>
                <w:lang w:val="en-US" w:eastAsia="zh-CN" w:bidi="ar"/>
              </w:rPr>
              <w:t>七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 w:bidi="ar"/>
              </w:rPr>
              <w:t>）项目为城镇生活污水处理设施建设工程，总量控制按照达标排放进行管理，项目总量指标COD&lt;5.745t/a,氨氮&lt;0.548t/a。</w:t>
            </w:r>
          </w:p>
          <w:p>
            <w:pPr>
              <w:pStyle w:val="32"/>
              <w:spacing w:line="360" w:lineRule="auto"/>
              <w:ind w:firstLine="551" w:firstLineChars="196"/>
              <w:jc w:val="left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环境影响报告批复要求落实情况：</w:t>
            </w:r>
          </w:p>
          <w:p>
            <w:pPr>
              <w:pStyle w:val="32"/>
              <w:spacing w:before="7" w:line="360" w:lineRule="auto"/>
              <w:ind w:left="107" w:right="164" w:firstLine="480"/>
              <w:jc w:val="left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本项目环境影响报告表的批复情况及企业落实情况详见表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。</w:t>
            </w:r>
          </w:p>
          <w:p>
            <w:pPr>
              <w:autoSpaceDE/>
              <w:autoSpaceDN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 xml:space="preserve">9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环评及批复文件中环境风险防控措施的落实情况一览表</w:t>
            </w:r>
          </w:p>
          <w:tbl>
            <w:tblPr>
              <w:tblStyle w:val="19"/>
              <w:tblW w:w="4997" w:type="pct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92"/>
              <w:gridCol w:w="3436"/>
              <w:gridCol w:w="3570"/>
              <w:gridCol w:w="1090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序号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环评批复及要求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企业落实情况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加强施工期环境管理。认真做好施工期环境监理工作，开展管线施工区现有管道详查，根据路段情况规范施工;优化施工布局，严格控制施工时段，夜间和午休时间禁止高噪声设备施工作业;施工废水经沉淀处理后回用于洒水降尘，不外排;项目不设施工营地，不设取、弃土场和渣土堆场，建设垃圾由渣土管理部门处置;使用商品混凝土，施工场地采取覆盖、围档、洒水、清洗等措施，加强土石运输污染控制，避免工程施工期噪声、扬尘和水土流失对环境的影响，避免施工扰民。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项目建设期间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加强施工期环境管理。认真做好施工期环境监理工作，开展管线施工区现有管道详查，根据路段情况规范施工;优化施工布局，严格控制施工时段，夜间和午休时间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未使用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高噪声设备施工作业;施工废水经沉淀处理后回用于洒水降尘，不外排;项目不设施工营地，不设取、弃土场和渣土堆场，建设垃圾由渣土管理部门处置;使用商品混凝土，施工场地采取覆盖、围档、洒水、清洗等措施，加强土石运输污染控制，避免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了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工程施工期噪声、扬尘和水土流失对环境的影响，避免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了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施工扰民。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numPr>
                      <w:ilvl w:val="0"/>
                      <w:numId w:val="0"/>
                    </w:numPr>
                    <w:spacing w:line="240" w:lineRule="auto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废水污染防治工作。严格按“雨污分流、污污分流”原则，规范建设厂区雨水及污水管网，做好污水管网密封防腐和各类池体及栅渣、污泥贮存场所防渗、防漏工作;厂内生活污水、生产废水经收集后通过提升泵回流于污水处理系统，出水水质均达到《城镇污水处理厂污染物排放标准》(GB18918-2002）表1一级A标准后经管道排入栗塘社区农田灌溉渠。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项目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废水污染防治工作。严格按“雨污分流、污污分流”原则，规范建设厂区雨水及污水管网，做好污水管网密封防腐和各类池体及栅渣、污泥贮存场所防渗、防漏工作;厂内生活污水、生产废水经收集后通过提升泵回流于污水处理系统，出水水质均达到《城镇污水处理厂污染物排放标准》(GB18918-2002）表1一级A标准后经管道排入栗塘社区农田灌溉渠。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3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废气污染防治工作。优化平面布局，加强厂区厂界绿化工作，产生的污泥及时清运，严格认真操作，加强自然通风，项目产生的氨气和硫化氢恶臭气体无组织排放须满足《城镇污水处理厂污染物排放标准》(GB18918-2002）表4中相关限值要求。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废气污染防治工作。加强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了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厂区厂界绿化工作，产生的污泥及时清运，严格认真操作，加强自然通风，项目产生的氨气和硫化氢恶臭气体无组织排放满足《城镇污水处理厂污染物排放标准》(GB18918-2002）表4中相关限值要求。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4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噪声污染防治工作。选用低噪声丸械设备，污水泵、污泥泵、凤机等新增设备合理布局，并加强日常养护，做好基础减振、屏障、隔音、降噪等防治措施，确保厂界噪声达到《工业企业厂界环境噪声排放标准》(GB12348-2008)中2类标准后排放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噪声污染防治工作。选用低噪声丸械设备，污水泵、污泥泵、凤机等新增设备合理布局，并加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了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强日常养护，做好基础减振、屏障、隔音、降噪等防治措施，确保厂界噪声达到《工业企业厂界环境噪声排放标准》(GB12348-2008)中2类标准后排放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5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固体废物污染防治工作。按照一般工业固体废物执行《一般工业固体废物贮存、处置场污染控制标准》（GB13599-2001）及2013年修改单要求，规范设置临时贮存场所、建立固体废物暂存、转运、处置全过程管理台账，污泥由运泥车定期输送至南湖洲镇污水处理厂进行脱水，然后运至砖厂综合利用、合理安排运输路线，杜绝污泥运输造成二次污染，污水处理的沉砂、栅渣等一般工业固体废物和生活垃圾交由当地环卫部门收集处理;废紫外线灯管属危险废物，经收集后交由有资质单位处理。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固体废物污染防治工作。按照一般工业固体废物执行</w:t>
                  </w:r>
                  <w:r>
                    <w:rPr>
                      <w:rFonts w:hint="eastAsia" w:ascii="Times New Roman" w:hAnsi="Times New Roman" w:eastAsia="宋体" w:cs="Noto Sans Mono CJK JP Regular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《一般工业固体废弃物贮存、处置场污染控制标准》(GB18599-20</w:t>
                  </w:r>
                  <w:r>
                    <w:rPr>
                      <w:rFonts w:hint="eastAsia" w:cs="Noto Sans Mono CJK JP Regular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20</w:t>
                  </w:r>
                  <w:r>
                    <w:rPr>
                      <w:rFonts w:hint="eastAsia" w:ascii="Times New Roman" w:hAnsi="Times New Roman" w:eastAsia="宋体" w:cs="Noto Sans Mono CJK JP Regular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)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要求，规范设置临时贮存场所、建立固体废物暂存、转运、处置全过程管理台账，污泥由运泥车定期输送至南湖洲镇污水处理厂进行脱水，然后运至砖厂综合利用、合理安排运输路线，杜绝污泥运输造成二次污染，污水处理的沉砂、栅渣等一般工业固体废物和生活垃圾交由当地环卫部门收集处理;废紫外线灯管属危险废物，经收集后交由有资质单位处理。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6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加强环境风险防范工作。建立健全污染防治设施运行管理、监测制度及台账，配备专职的环保专干，严格按照《突发环境事件应急预案管理暂行办法》要求制定环境事故应急预案，加强各类风险防范措施，防止废水事故性风险排放，杜绝环境风险事故发生。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加强环境风险防范工作。建立健全污染防治设施运行管理、监测制度及台账，配备专职的环保专干，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 w:bidi="ar"/>
                    </w:rPr>
                    <w:t>项目已编制突发环境事件应急预案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，防止废水事故性风险排放，杜绝环境风险事故发生。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9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7</w:t>
                  </w:r>
                </w:p>
              </w:tc>
              <w:tc>
                <w:tcPr>
                  <w:tcW w:w="19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项目为城镇生活污水处理设施建设工程，总量控制按照达标排放进行管理，项目总量指标COD&lt;5.745t/a,氨氮&lt;0.548t/a。</w:t>
                  </w:r>
                </w:p>
              </w:tc>
              <w:tc>
                <w:tcPr>
                  <w:tcW w:w="203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根据验收监测结果测算，项目外排废水中主要污染物化学需氧量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 w:bidi="ar"/>
                    </w:rPr>
                    <w:t>COD&lt;5.745t/a,氨氮&lt;0.548t/a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，符合总量控制指标要求</w:t>
                  </w:r>
                </w:p>
              </w:tc>
              <w:tc>
                <w:tcPr>
                  <w:tcW w:w="6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eastAsia="zh-CN" w:bidi="ar"/>
                    </w:rPr>
                    <w:t>已落实</w:t>
                  </w:r>
                </w:p>
              </w:tc>
            </w:tr>
          </w:tbl>
          <w:p>
            <w:pPr>
              <w:pStyle w:val="32"/>
              <w:spacing w:before="7" w:line="360" w:lineRule="auto"/>
              <w:ind w:left="107" w:right="164" w:firstLine="480"/>
              <w:jc w:val="left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sz w:val="24"/>
                <w:lang w:eastAsia="zh-CN"/>
              </w:rPr>
              <w:br w:type="textWrapping"/>
            </w:r>
          </w:p>
        </w:tc>
      </w:tr>
    </w:tbl>
    <w:p>
      <w:pPr>
        <w:rPr>
          <w:rFonts w:hint="default" w:ascii="Times New Roman" w:hAnsi="Times New Roman" w:eastAsia="宋体" w:cs="Times New Roman"/>
          <w:lang w:eastAsia="zh-CN"/>
        </w:rPr>
      </w:pPr>
    </w:p>
    <w:p>
      <w:pPr>
        <w:pStyle w:val="6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</w:p>
    <w:p>
      <w:pPr>
        <w:spacing w:line="386" w:lineRule="exact"/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sz w:val="28"/>
          <w:szCs w:val="28"/>
        </w:rPr>
        <w:t>表</w:t>
      </w:r>
      <w:r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  <w:t>五</w:t>
      </w:r>
    </w:p>
    <w:tbl>
      <w:tblPr>
        <w:tblStyle w:val="20"/>
        <w:tblW w:w="942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7" w:hRule="atLeast"/>
          <w:jc w:val="center"/>
        </w:trPr>
        <w:tc>
          <w:tcPr>
            <w:tcW w:w="9426" w:type="dxa"/>
            <w:tcBorders>
              <w:tl2br w:val="nil"/>
              <w:tr2bl w:val="nil"/>
            </w:tcBorders>
          </w:tcPr>
          <w:p>
            <w:pPr>
              <w:pStyle w:val="3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107"/>
              <w:contextualSpacing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验收监测质量保证及质量控制：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u w:val="none" w:color="auto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u w:val="none" w:color="auto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u w:val="none" w:color="auto"/>
              </w:rPr>
              <w:t>、监测分析过程中的质量保证和质量控制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  <w:t>建设项目监测分析严格按照《建设项目环境保护设施竣工验收监测技术要求（试行）》和相关监测技术规范要求进行。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u w:val="none" w:color="auto"/>
              </w:rPr>
              <w:t>质量保证与质量控制严格执行国家环保局颁发的《环境监测技术规范》和国家有关采样、分析的标准及方法，实施全过程的质量保证。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（1）点位设置：根据项目布局、污染源排放情况，按监测规范要求合理布设监测点位，保证各监测点位的代表性、可比性和科学性。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（2）监测分析方法采用国家和行业标准分析方法，监测人员经过持证上岗考核并持有合格证书，所用监测仪器设备状态正常且均在有效检定周期内。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（3）气体采样仪器使用标准流量计进行流量校准，并按照国家标准、技术规范和质量保证的要求进行全过程质量控制。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（4）噪声监测根据当天的天气情况，在无雨雪、雷电，风速在5m/s以下进行测量，且测量前后使用声校准器校准测量仪器的示值偏差不大于0.5dB。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（5）在监测期间，样品采集、运输、保存均按照环境保护部发布的《环境监测质量管理技术导则》（HJ 630-2011）的要求进行。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（6）实验室分析人员按国家和行业标准分析方法对样品进行分析，正确、真实、齐全、清晰填写实验室分析原始记录，监测数据和实行三级审核制度。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after="0" w:line="360" w:lineRule="auto"/>
              <w:ind w:left="0" w:leftChars="0"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（7）项目负责人负责报告编制，审核人员负责校对，确保报告中数据与原始数据一致无误。经报告编写人、审核人、签发人三级审核签字后方可报出。</w:t>
            </w:r>
          </w:p>
        </w:tc>
      </w:tr>
    </w:tbl>
    <w:p>
      <w:pPr>
        <w:widowControl/>
        <w:autoSpaceDE/>
        <w:autoSpaceDN/>
        <w:rPr>
          <w:rFonts w:hint="default"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widowControl/>
        <w:autoSpaceDE/>
        <w:autoSpaceDN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</w:p>
    <w:p>
      <w:pPr>
        <w:spacing w:line="386" w:lineRule="exact"/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sz w:val="28"/>
          <w:szCs w:val="28"/>
        </w:rPr>
        <w:t>表</w:t>
      </w:r>
      <w:r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  <w:t>六</w:t>
      </w:r>
    </w:p>
    <w:tbl>
      <w:tblPr>
        <w:tblStyle w:val="20"/>
        <w:tblW w:w="9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67" w:hRule="atLeast"/>
          <w:jc w:val="center"/>
        </w:trPr>
        <w:tc>
          <w:tcPr>
            <w:tcW w:w="9374" w:type="dxa"/>
            <w:tcBorders>
              <w:tl2br w:val="nil"/>
              <w:tr2bl w:val="nil"/>
            </w:tcBorders>
          </w:tcPr>
          <w:p>
            <w:pPr>
              <w:pStyle w:val="32"/>
              <w:spacing w:line="374" w:lineRule="exact"/>
              <w:ind w:left="107"/>
              <w:jc w:val="left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验收监测内容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：</w:t>
            </w:r>
          </w:p>
          <w:p>
            <w:pPr>
              <w:pStyle w:val="33"/>
              <w:spacing w:before="156" w:beforeLines="50" w:after="156" w:afterLines="5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0" w:name="_Toc850"/>
            <w:bookmarkStart w:id="1" w:name="_Toc29999"/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  <w:t>本项目验收监测内容见表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val="en-US" w:eastAsia="zh-CN"/>
              </w:rPr>
              <w:t>：</w:t>
            </w:r>
          </w:p>
          <w:p>
            <w:pPr>
              <w:pStyle w:val="33"/>
              <w:spacing w:before="156" w:beforeLines="50" w:after="156" w:afterLines="50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 xml:space="preserve">  验收监测工作内容一览表</w:t>
            </w:r>
          </w:p>
          <w:bookmarkEnd w:id="0"/>
          <w:bookmarkEnd w:id="1"/>
          <w:tbl>
            <w:tblPr>
              <w:tblStyle w:val="20"/>
              <w:tblW w:w="4998" w:type="pct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54"/>
              <w:gridCol w:w="835"/>
              <w:gridCol w:w="1460"/>
              <w:gridCol w:w="1374"/>
              <w:gridCol w:w="2685"/>
              <w:gridCol w:w="1882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1995" w:type="pct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监测布点</w:t>
                  </w:r>
                </w:p>
              </w:tc>
              <w:tc>
                <w:tcPr>
                  <w:tcW w:w="146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监测因子</w:t>
                  </w:r>
                </w:p>
              </w:tc>
              <w:tc>
                <w:tcPr>
                  <w:tcW w:w="10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监测频次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19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1248" w:type="pct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进水口</w:t>
                  </w:r>
                </w:p>
              </w:tc>
              <w:tc>
                <w:tcPr>
                  <w:tcW w:w="7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W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bscript"/>
                      <w:lang w:val="en-US" w:eastAsia="zh-CN"/>
                    </w:rPr>
                    <w:t>1</w:t>
                  </w:r>
                </w:p>
              </w:tc>
              <w:tc>
                <w:tcPr>
                  <w:tcW w:w="146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45"/>
                    <w:keepNext w:val="0"/>
                    <w:keepLines w:val="0"/>
                    <w:pageBreakBefore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Lines="0" w:beforeAutospacing="0" w:after="0" w:afterLines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pH、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BOD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vertAlign w:val="subscript"/>
                    </w:rPr>
                    <w:t>5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SS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、动植物油、石油类、阴离子表面活性剂、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TN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eastAsia="zh-CN"/>
                    </w:rPr>
                    <w:t>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TP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eastAsia="zh-CN"/>
                    </w:rPr>
                    <w:t>、色度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、粪大肠菌群数、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COD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vertAlign w:val="subscript"/>
                    </w:rPr>
                    <w:t>Cr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vertAlign w:val="baseline"/>
                      <w:lang w:eastAsia="zh-CN"/>
                    </w:rPr>
                    <w:t>、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eastAsia="zh-CN"/>
                    </w:rPr>
                    <w:t>氨氮</w:t>
                  </w:r>
                </w:p>
              </w:tc>
              <w:tc>
                <w:tcPr>
                  <w:tcW w:w="10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监测2天，每天</w:t>
                  </w: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次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19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1248" w:type="pct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出水口</w:t>
                  </w:r>
                </w:p>
              </w:tc>
              <w:tc>
                <w:tcPr>
                  <w:tcW w:w="7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W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bscript"/>
                      <w:lang w:val="en-US" w:eastAsia="zh-CN"/>
                    </w:rPr>
                    <w:t>2</w:t>
                  </w:r>
                </w:p>
              </w:tc>
              <w:tc>
                <w:tcPr>
                  <w:tcW w:w="146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9"/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/>
                      <w:snapToGrid w:val="0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pH、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BOD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vertAlign w:val="subscript"/>
                    </w:rPr>
                    <w:t>5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SS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、动植物油、石油类、阴离子表面活性剂、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TN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eastAsia="zh-CN"/>
                    </w:rPr>
                    <w:t>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TP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eastAsia="zh-CN"/>
                    </w:rPr>
                    <w:t>、色度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val="en-US" w:eastAsia="zh-CN"/>
                    </w:rPr>
                    <w:t>、粪大肠菌群数、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</w:rPr>
                    <w:t>COD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vertAlign w:val="subscript"/>
                    </w:rPr>
                    <w:t>Cr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vertAlign w:val="baseline"/>
                      <w:lang w:eastAsia="zh-CN"/>
                    </w:rPr>
                    <w:t>、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u w:val="none"/>
                      <w:lang w:eastAsia="zh-CN"/>
                    </w:rPr>
                    <w:t>氨氮</w:t>
                  </w:r>
                </w:p>
              </w:tc>
              <w:tc>
                <w:tcPr>
                  <w:tcW w:w="10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监测2天，每天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取1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2次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样（两小时一次），测混合样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废气</w:t>
                  </w:r>
                </w:p>
              </w:tc>
              <w:tc>
                <w:tcPr>
                  <w:tcW w:w="45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无组织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废气</w:t>
                  </w:r>
                </w:p>
              </w:tc>
              <w:tc>
                <w:tcPr>
                  <w:tcW w:w="79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topLinePunct w:val="0"/>
                    <w:bidi w:val="0"/>
                    <w:spacing w:before="0" w:beforeAutospacing="0" w:after="0" w:afterAutospacing="0" w:line="36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eastAsia="zh-CN"/>
                    </w:rPr>
                    <w:t>厂界下风向侧</w:t>
                  </w:r>
                </w:p>
              </w:tc>
              <w:tc>
                <w:tcPr>
                  <w:tcW w:w="7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topLinePunct w:val="0"/>
                    <w:bidi w:val="0"/>
                    <w:spacing w:before="0" w:beforeAutospacing="0" w:after="0" w:afterAutospacing="0" w:line="36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Q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vertAlign w:val="subscript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vertAlign w:val="baseline"/>
                      <w:lang w:eastAsia="zh-CN"/>
                    </w:rPr>
                    <w:t>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vertAlign w:val="baseline"/>
                      <w:lang w:val="en-US" w:eastAsia="zh-CN"/>
                    </w:rPr>
                    <w:t>Q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vertAlign w:val="subscript"/>
                      <w:lang w:val="en-US" w:eastAsia="zh-CN"/>
                    </w:rPr>
                    <w:t>2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vertAlign w:val="baseline"/>
                      <w:lang w:val="en-US" w:eastAsia="zh-CN"/>
                    </w:rPr>
                    <w:t>、Q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vertAlign w:val="subscript"/>
                      <w:lang w:val="en-US" w:eastAsia="zh-CN"/>
                    </w:rPr>
                    <w:t>3</w:t>
                  </w:r>
                </w:p>
              </w:tc>
              <w:tc>
                <w:tcPr>
                  <w:tcW w:w="146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-60" w:leftChars="-25" w:right="-60" w:rightChars="-25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NH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bscript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、H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bscript"/>
                      <w:lang w:val="en-US" w:eastAsia="zh-CN"/>
                    </w:rPr>
                    <w:t>2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S、臭气浓度</w:t>
                  </w:r>
                </w:p>
              </w:tc>
              <w:tc>
                <w:tcPr>
                  <w:tcW w:w="10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监测2天，每2小时采一次，每天共采四次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1248" w:type="pct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四周各设一个厂界噪声监测点，共4个点</w:t>
                  </w:r>
                </w:p>
              </w:tc>
              <w:tc>
                <w:tcPr>
                  <w:tcW w:w="7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N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1、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N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2、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N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3、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N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46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等效连续A声级</w:t>
                  </w:r>
                </w:p>
              </w:tc>
              <w:tc>
                <w:tcPr>
                  <w:tcW w:w="10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leftChars="0" w:right="0" w:rightChars="0" w:firstLine="0" w:firstLine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</w:rPr>
                    <w:t>监测2天，昼夜各1次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8"/>
                <w:szCs w:val="28"/>
                <w:u w:val="none" w:color="auto"/>
                <w:lang w:eastAsia="zh-CN"/>
              </w:rPr>
              <w:t>本项目验收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8"/>
                <w:szCs w:val="28"/>
                <w:u w:val="none" w:color="auto"/>
              </w:rPr>
              <w:t>监测分析方法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8"/>
                <w:szCs w:val="28"/>
                <w:u w:val="none" w:color="auto"/>
                <w:lang w:eastAsia="zh-CN"/>
              </w:rPr>
              <w:t>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u w:val="none" w:color="auto"/>
              </w:rPr>
              <w:t>表</w:t>
            </w:r>
            <w:r>
              <w:rPr>
                <w:rFonts w:hint="eastAsia" w:ascii="Times New Roman" w:hAnsi="Times New Roman" w:cs="Times New Roman"/>
                <w:b/>
                <w:color w:val="auto"/>
                <w:sz w:val="24"/>
                <w:szCs w:val="24"/>
                <w:u w:val="none" w:color="auto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color w:val="auto"/>
                <w:sz w:val="24"/>
                <w:szCs w:val="24"/>
                <w:u w:val="none" w:color="auto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u w:val="none" w:color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u w:val="none" w:color="auto"/>
              </w:rPr>
              <w:t>监测分析方法和主要仪器一览表</w:t>
            </w:r>
          </w:p>
          <w:tbl>
            <w:tblPr>
              <w:tblStyle w:val="19"/>
              <w:tblW w:w="9194" w:type="dxa"/>
              <w:tblInd w:w="1" w:type="dxa"/>
              <w:tblBorders>
                <w:top w:val="single" w:color="000000" w:sz="12" w:space="0"/>
                <w:left w:val="single" w:color="000000" w:sz="12" w:space="0"/>
                <w:bottom w:val="single" w:color="000000" w:sz="12" w:space="0"/>
                <w:right w:val="single" w:color="000000" w:sz="12" w:space="0"/>
                <w:insideH w:val="single" w:color="000000" w:sz="4" w:space="0"/>
                <w:insideV w:val="single" w:color="000000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91"/>
              <w:gridCol w:w="955"/>
              <w:gridCol w:w="3828"/>
              <w:gridCol w:w="2340"/>
              <w:gridCol w:w="1280"/>
            </w:tblGrid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57" w:hRule="atLeast"/>
              </w:trPr>
              <w:tc>
                <w:tcPr>
                  <w:tcW w:w="430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分析</w:t>
                  </w:r>
                </w:p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项目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分析方法及方法来源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使用仪器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最低检</w:t>
                  </w:r>
                </w:p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出限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2" w:hRule="atLeast"/>
              </w:trPr>
              <w:tc>
                <w:tcPr>
                  <w:tcW w:w="430" w:type="pct"/>
                  <w:vMerge w:val="restar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  <w:t>废水</w:t>
                  </w: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《水和废水监测分析方法》(第四版增补版）国家环境保护总局 2002年 便携式pH计法（B）3.1.6（2）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多参数分析仪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sz w:val="21"/>
                      <w:szCs w:val="21"/>
                    </w:rPr>
                    <w:t>CODcr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《水质化学需氧量的测定 重铬酸盐法》HJ828-2017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滴定管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4mg/L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悬浮物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《水质悬浮物的测定重量法》GB/T11901-89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FB224型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电子天平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《水质氨氮的测定 纳氏试剂比色法》HJ535-2009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752型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紫外/可见分光光度计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0.025mg/L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动植物油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《水质石油类和动植物油的测定 红外分光光度法》HJ637-2018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LT-21A型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红外分光测油仪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sz w:val="21"/>
                      <w:szCs w:val="21"/>
                    </w:rPr>
                    <w:t>0.06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色度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《水质色度的测定目视比色法》 GB/T11903-89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TN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《水质总氮的测定碱性过硫酸钾消解紫外分光光度法》HJ636-2012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北京普析紫外可见分光光度计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0.05mg/L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TP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《水质总磷的测定钼酸铵分光光度法》GB/T11893-89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北京普析紫外可见分光光度计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0.0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粪大肠菌群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《水质粪大肠菌群的测定多管发酵法》（HJ 347.2-2018）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恒温恒湿培养箱LRHS-150-22隔水式电热恒温培养箱PYX-DHS 350-85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317"/>
                    </w:tabs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left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eastAsia="zh-CN"/>
                    </w:rPr>
                    <w:tab/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eastAsia="zh-CN"/>
                    </w:rPr>
                    <w:t>20（MPN/L）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LAS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 阴离子表面活性剂的测定 亚甲蓝分光光度法》GB 7494-87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紫外可见分光光度计TU-1901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0.05mg/L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石油类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  石油类和动植物油类的测定 红外分光光度法》HJ637-2018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红外分光测油仪JLBG-126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0.04mg/L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  <w:t>BOD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vertAlign w:val="subscript"/>
                      <w:lang w:val="en-US" w:eastAsia="zh-CN"/>
                    </w:rPr>
                    <w:t>5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《水质 五日生化需氧量（BOD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vertAlign w:val="subscript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）的测定稀释与接种法》HJ505-2009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生化培养箱SPX-150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0.5mg/L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7" w:hRule="atLeast"/>
              </w:trPr>
              <w:tc>
                <w:tcPr>
                  <w:tcW w:w="430" w:type="pct"/>
                  <w:vMerge w:val="restar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  <w:t>无组织废气</w:t>
                  </w: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  <w:t>氨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《环境空气和废气 氨的测定 纳氏试剂分光光度法》HJ533-2009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TU-1901紫外可见分光光度计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7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ind w:left="0" w:leftChars="0" w:right="0" w:rightChars="0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0.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lang w:val="en-US" w:eastAsia="zh-CN"/>
                    </w:rPr>
                    <w:t>01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 xml:space="preserve"> mg/m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04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  <w:t>硫化氢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《空气质量 硫化氢、甲硫醇、甲硫醚和二甲二硫的测定 气相色谱法》(GBT 14678-93)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TU-1901紫外可见分光光度计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0.001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 xml:space="preserve"> mg/m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430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臭气浓度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《空气质量 恶臭的测定 三点比较式臭袋法》GB/T14675-93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气袋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8" w:hRule="atLeast"/>
              </w:trPr>
              <w:tc>
                <w:tcPr>
                  <w:tcW w:w="430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 w:val="0"/>
                    <w:bidi w:val="0"/>
                    <w:adjustRightInd/>
                    <w:snapToGrid/>
                    <w:spacing w:beforeAutospacing="0" w:afterAutospacing="0" w:line="240" w:lineRule="auto"/>
                    <w:ind w:left="-120" w:leftChars="-50" w:right="-120" w:rightChars="-50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519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厂界噪声</w:t>
                  </w:r>
                </w:p>
              </w:tc>
              <w:tc>
                <w:tcPr>
                  <w:tcW w:w="208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>《工业企业厂界噪声排放标准》</w:t>
                  </w:r>
                </w:p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  <w:t xml:space="preserve"> GB 12348-2008</w:t>
                  </w:r>
                </w:p>
              </w:tc>
              <w:tc>
                <w:tcPr>
                  <w:tcW w:w="127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AWA6228</w:t>
                  </w:r>
                </w:p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多功能声级计</w:t>
                  </w:r>
                </w:p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AWA6021A</w:t>
                  </w:r>
                </w:p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000000"/>
                      <w:sz w:val="21"/>
                      <w:szCs w:val="21"/>
                    </w:rPr>
                    <w:t>声级校准器</w:t>
                  </w:r>
                </w:p>
              </w:tc>
              <w:tc>
                <w:tcPr>
                  <w:tcW w:w="69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bidi w:val="0"/>
                    <w:adjustRightInd/>
                    <w:snapToGrid/>
                    <w:spacing w:beforeAutospacing="0" w:afterAutospacing="0" w:line="240" w:lineRule="auto"/>
                    <w:jc w:val="center"/>
                    <w:textAlignment w:val="center"/>
                    <w:outlineLvl w:val="9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pStyle w:val="32"/>
              <w:spacing w:line="374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0"/>
                <w:lang w:eastAsia="zh-CN"/>
              </w:rPr>
            </w:pPr>
          </w:p>
        </w:tc>
      </w:tr>
    </w:tbl>
    <w:p>
      <w:pPr>
        <w:pStyle w:val="6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</w:p>
    <w:p>
      <w:pPr>
        <w:spacing w:line="386" w:lineRule="exact"/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sz w:val="28"/>
          <w:szCs w:val="28"/>
          <w:lang w:eastAsia="zh-CN"/>
        </w:rPr>
        <w:t>表七</w:t>
      </w:r>
    </w:p>
    <w:tbl>
      <w:tblPr>
        <w:tblStyle w:val="20"/>
        <w:tblW w:w="914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  <w:jc w:val="center"/>
        </w:trPr>
        <w:tc>
          <w:tcPr>
            <w:tcW w:w="914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验收监测期间生产工况记录：</w:t>
            </w:r>
          </w:p>
          <w:p>
            <w:pPr>
              <w:spacing w:line="360" w:lineRule="auto"/>
              <w:ind w:firstLine="560" w:firstLineChars="200"/>
              <w:contextualSpacing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8"/>
                <w:szCs w:val="28"/>
                <w:lang w:eastAsia="zh-CN"/>
              </w:rPr>
              <w:t>湘阴湘滨镇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污水处理厂验收监测时间为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日至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日，期间生产设施运行正常，环保设施运行正常。根据现场调查及资料项目生产负荷统计结果见下表。</w:t>
            </w:r>
          </w:p>
          <w:p>
            <w:pPr>
              <w:pStyle w:val="2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表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 xml:space="preserve"> 验收期间生产情况表</w:t>
            </w:r>
          </w:p>
          <w:tbl>
            <w:tblPr>
              <w:tblStyle w:val="20"/>
              <w:tblW w:w="5000" w:type="pct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78"/>
              <w:gridCol w:w="1781"/>
              <w:gridCol w:w="1781"/>
              <w:gridCol w:w="1779"/>
              <w:gridCol w:w="1782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9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日期</w:t>
                  </w:r>
                </w:p>
              </w:tc>
              <w:tc>
                <w:tcPr>
                  <w:tcW w:w="100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设计处理量（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m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/d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）</w:t>
                  </w:r>
                </w:p>
              </w:tc>
              <w:tc>
                <w:tcPr>
                  <w:tcW w:w="100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实际处理量（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m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sz w:val="21"/>
                      <w:szCs w:val="21"/>
                      <w:lang w:val="en-US" w:eastAsia="zh-CN"/>
                    </w:rPr>
                    <w:t>/d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）</w:t>
                  </w:r>
                </w:p>
              </w:tc>
              <w:tc>
                <w:tcPr>
                  <w:tcW w:w="99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负荷（%）</w:t>
                  </w:r>
                </w:p>
              </w:tc>
              <w:tc>
                <w:tcPr>
                  <w:tcW w:w="100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平均负荷（%）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9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月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日</w:t>
                  </w:r>
                </w:p>
              </w:tc>
              <w:tc>
                <w:tcPr>
                  <w:tcW w:w="1000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300</w:t>
                  </w:r>
                </w:p>
              </w:tc>
              <w:tc>
                <w:tcPr>
                  <w:tcW w:w="100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250</w:t>
                  </w:r>
                </w:p>
              </w:tc>
              <w:tc>
                <w:tcPr>
                  <w:tcW w:w="99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83.3</w:t>
                  </w:r>
                </w:p>
              </w:tc>
              <w:tc>
                <w:tcPr>
                  <w:tcW w:w="1000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89.95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9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月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日</w:t>
                  </w:r>
                </w:p>
              </w:tc>
              <w:tc>
                <w:tcPr>
                  <w:tcW w:w="100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00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290</w:t>
                  </w:r>
                </w:p>
              </w:tc>
              <w:tc>
                <w:tcPr>
                  <w:tcW w:w="99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  <w:t>96.6</w:t>
                  </w:r>
                </w:p>
              </w:tc>
              <w:tc>
                <w:tcPr>
                  <w:tcW w:w="100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2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vertAlign w:val="baseline"/>
                      <w:lang w:val="en-US" w:eastAsia="zh-CN"/>
                    </w:rPr>
                  </w:pPr>
                </w:p>
              </w:tc>
            </w:tr>
          </w:tbl>
          <w:p>
            <w:pPr>
              <w:pStyle w:val="2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5" w:hRule="atLeast"/>
          <w:jc w:val="center"/>
        </w:trPr>
        <w:tc>
          <w:tcPr>
            <w:tcW w:w="914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验收监测结果：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56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1、验收监测期间气象记录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验收监测期间气象情况详见下表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表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 xml:space="preserve">  验收监测期间气象记录表</w:t>
            </w:r>
          </w:p>
          <w:tbl>
            <w:tblPr>
              <w:tblStyle w:val="19"/>
              <w:tblW w:w="4998" w:type="pct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45"/>
              <w:gridCol w:w="1065"/>
              <w:gridCol w:w="992"/>
              <w:gridCol w:w="1753"/>
              <w:gridCol w:w="1753"/>
              <w:gridCol w:w="1789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  <w:jc w:val="center"/>
              </w:trPr>
              <w:tc>
                <w:tcPr>
                  <w:tcW w:w="86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日期</w:t>
                  </w:r>
                </w:p>
              </w:tc>
              <w:tc>
                <w:tcPr>
                  <w:tcW w:w="59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天气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风向</w:t>
                  </w:r>
                </w:p>
              </w:tc>
              <w:tc>
                <w:tcPr>
                  <w:tcW w:w="98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风速（m/s）</w:t>
                  </w:r>
                </w:p>
              </w:tc>
              <w:tc>
                <w:tcPr>
                  <w:tcW w:w="98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温度(℃)</w:t>
                  </w:r>
                </w:p>
              </w:tc>
              <w:tc>
                <w:tcPr>
                  <w:tcW w:w="100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气压(kPa)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6" w:hRule="atLeast"/>
                <w:jc w:val="center"/>
              </w:trPr>
              <w:tc>
                <w:tcPr>
                  <w:tcW w:w="86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202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59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晴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南</w:t>
                  </w:r>
                </w:p>
              </w:tc>
              <w:tc>
                <w:tcPr>
                  <w:tcW w:w="98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98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26.8</w:t>
                  </w:r>
                </w:p>
              </w:tc>
              <w:tc>
                <w:tcPr>
                  <w:tcW w:w="100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100.2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1" w:hRule="atLeast"/>
                <w:jc w:val="center"/>
              </w:trPr>
              <w:tc>
                <w:tcPr>
                  <w:tcW w:w="86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202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59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晴</w:t>
                  </w:r>
                </w:p>
              </w:tc>
              <w:tc>
                <w:tcPr>
                  <w:tcW w:w="55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南</w:t>
                  </w:r>
                </w:p>
              </w:tc>
              <w:tc>
                <w:tcPr>
                  <w:tcW w:w="98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98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28.2</w:t>
                  </w:r>
                </w:p>
              </w:tc>
              <w:tc>
                <w:tcPr>
                  <w:tcW w:w="1005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100.2</w:t>
                  </w:r>
                </w:p>
              </w:tc>
            </w:tr>
          </w:tbl>
          <w:p>
            <w:pPr>
              <w:pStyle w:val="6"/>
              <w:numPr>
                <w:ilvl w:val="0"/>
                <w:numId w:val="0"/>
              </w:numPr>
              <w:spacing w:line="360" w:lineRule="auto"/>
              <w:ind w:firstLine="56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废水监测结果及评价</w:t>
            </w:r>
          </w:p>
          <w:p>
            <w:pPr>
              <w:spacing w:line="360" w:lineRule="auto"/>
              <w:ind w:left="48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废水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进水、出水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水质监测结果见表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，表1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：</w:t>
            </w:r>
          </w:p>
          <w:p>
            <w:pPr>
              <w:pStyle w:val="33"/>
              <w:spacing w:before="156" w:beforeLines="50" w:after="156" w:afterLines="50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表1</w:t>
            </w:r>
            <w:r>
              <w:rPr>
                <w:rFonts w:hint="eastAsia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 项目废水</w:t>
            </w:r>
            <w:r>
              <w:rPr>
                <w:rFonts w:hint="eastAsia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进水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监测结果一览表</w:t>
            </w:r>
          </w:p>
          <w:tbl>
            <w:tblPr>
              <w:tblStyle w:val="19"/>
              <w:tblW w:w="4997" w:type="pct"/>
              <w:tblInd w:w="0" w:type="dxa"/>
              <w:tblBorders>
                <w:top w:val="single" w:color="000000" w:sz="12" w:space="0"/>
                <w:left w:val="single" w:color="000000" w:sz="12" w:space="0"/>
                <w:bottom w:val="single" w:color="000000" w:sz="12" w:space="0"/>
                <w:right w:val="single" w:color="000000" w:sz="12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16"/>
              <w:gridCol w:w="993"/>
              <w:gridCol w:w="815"/>
              <w:gridCol w:w="1047"/>
              <w:gridCol w:w="850"/>
              <w:gridCol w:w="1006"/>
              <w:gridCol w:w="921"/>
              <w:gridCol w:w="927"/>
              <w:gridCol w:w="821"/>
            </w:tblGrid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3" w:hRule="atLeast"/>
              </w:trPr>
              <w:tc>
                <w:tcPr>
                  <w:tcW w:w="852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</w:t>
                  </w:r>
                </w:p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点位</w:t>
                  </w:r>
                </w:p>
              </w:tc>
              <w:tc>
                <w:tcPr>
                  <w:tcW w:w="5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检测</w:t>
                  </w:r>
                </w:p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项目</w:t>
                  </w:r>
                </w:p>
              </w:tc>
              <w:tc>
                <w:tcPr>
                  <w:tcW w:w="4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采样时间</w:t>
                  </w:r>
                </w:p>
              </w:tc>
              <w:tc>
                <w:tcPr>
                  <w:tcW w:w="58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单位</w:t>
                  </w:r>
                </w:p>
              </w:tc>
              <w:tc>
                <w:tcPr>
                  <w:tcW w:w="2081" w:type="pct"/>
                  <w:gridSpan w:val="4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检测结果</w:t>
                  </w:r>
                </w:p>
              </w:tc>
              <w:tc>
                <w:tcPr>
                  <w:tcW w:w="461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标准限值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3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</w:pPr>
                </w:p>
              </w:tc>
              <w:tc>
                <w:tcPr>
                  <w:tcW w:w="5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</w:pP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</w:pPr>
                </w:p>
              </w:tc>
              <w:tc>
                <w:tcPr>
                  <w:tcW w:w="58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</w:pP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第一次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第二次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第三次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第四次</w:t>
                  </w:r>
                </w:p>
              </w:tc>
              <w:tc>
                <w:tcPr>
                  <w:tcW w:w="461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污水处理厂进水口</w:t>
                  </w: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pH</w:t>
                  </w:r>
                </w:p>
              </w:tc>
              <w:tc>
                <w:tcPr>
                  <w:tcW w:w="4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7.78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7.63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7.71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7.69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7"/>
                    <w:adjustRightInd/>
                    <w:spacing w:line="240" w:lineRule="auto"/>
                    <w:ind w:firstLine="0" w:firstLineChars="0"/>
                    <w:contextualSpacing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SS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42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52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56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59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CODcr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15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43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46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48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7"/>
                    <w:adjustRightInd/>
                    <w:spacing w:line="240" w:lineRule="auto"/>
                    <w:ind w:firstLine="0" w:firstLineChars="0"/>
                    <w:contextualSpacing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粪大肠菌群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MPN/L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）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3.5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4.1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4.8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3.4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BOD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vertAlign w:val="subscript"/>
                      <w:lang w:val="en-US" w:eastAsia="zh-CN"/>
                    </w:rPr>
                    <w:t>5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3.6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12.4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12.9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13.1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总磷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0.73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0.79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0.78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0.81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LAS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0.12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0.16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0.24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0.22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石油类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动植物油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色度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倍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2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7.25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7.66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7.84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7.99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总氮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9.77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9.90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10.2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10.5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pH</w:t>
                  </w:r>
                </w:p>
              </w:tc>
              <w:tc>
                <w:tcPr>
                  <w:tcW w:w="45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日</w:t>
                  </w: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7.72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7.65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7.75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7.68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7"/>
                    <w:adjustRightInd/>
                    <w:spacing w:line="240" w:lineRule="auto"/>
                    <w:ind w:firstLine="0" w:firstLineChars="0"/>
                    <w:contextualSpacing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SS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40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46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51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58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CODcr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40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44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43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47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7"/>
                    <w:adjustRightInd/>
                    <w:spacing w:line="240" w:lineRule="auto"/>
                    <w:ind w:firstLine="0" w:firstLineChars="0"/>
                    <w:contextualSpacing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粪大肠菌群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MPN/L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）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FF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7.9×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3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4.7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4.0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5.2</w:t>
                  </w:r>
                  <w:r>
                    <w:rPr>
                      <w:rFonts w:hint="eastAsia" w:ascii="宋体" w:hAnsi="宋体" w:eastAsia="宋体" w:cs="宋体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×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vertAlign w:val="superscript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BOD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vertAlign w:val="subscript"/>
                      <w:lang w:val="en-US" w:eastAsia="zh-CN"/>
                    </w:rPr>
                    <w:t>5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5.4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14.6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14.5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15.7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总磷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0.71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0.82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0.88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0.79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3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LAS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0.12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0.16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0.25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0.27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石油类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动植物油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色度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倍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2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8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7.20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8.16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7.94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8.34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85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5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eastAsia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总氮</w:t>
                  </w:r>
                </w:p>
              </w:tc>
              <w:tc>
                <w:tcPr>
                  <w:tcW w:w="45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47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9.69</w:t>
                  </w:r>
                </w:p>
              </w:tc>
              <w:tc>
                <w:tcPr>
                  <w:tcW w:w="565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10.5</w:t>
                  </w:r>
                </w:p>
              </w:tc>
              <w:tc>
                <w:tcPr>
                  <w:tcW w:w="51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10.6</w:t>
                  </w:r>
                </w:p>
              </w:tc>
              <w:tc>
                <w:tcPr>
                  <w:tcW w:w="52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10.8</w:t>
                  </w:r>
                </w:p>
              </w:tc>
              <w:tc>
                <w:tcPr>
                  <w:tcW w:w="46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</w:tbl>
          <w:p>
            <w:pPr>
              <w:pStyle w:val="33"/>
              <w:spacing w:before="156" w:beforeLines="50" w:after="156" w:afterLines="50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表1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 xml:space="preserve">  项目废水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出水口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监测结果一览表</w:t>
            </w:r>
          </w:p>
          <w:tbl>
            <w:tblPr>
              <w:tblStyle w:val="19"/>
              <w:tblW w:w="4997" w:type="pct"/>
              <w:tblInd w:w="-10" w:type="dxa"/>
              <w:tblBorders>
                <w:top w:val="single" w:color="000000" w:sz="12" w:space="0"/>
                <w:left w:val="single" w:color="000000" w:sz="12" w:space="0"/>
                <w:bottom w:val="single" w:color="000000" w:sz="12" w:space="0"/>
                <w:right w:val="single" w:color="000000" w:sz="12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0"/>
              <w:gridCol w:w="1314"/>
              <w:gridCol w:w="1282"/>
              <w:gridCol w:w="1339"/>
              <w:gridCol w:w="1143"/>
              <w:gridCol w:w="1408"/>
              <w:gridCol w:w="1470"/>
            </w:tblGrid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2" w:hRule="atLeast"/>
              </w:trPr>
              <w:tc>
                <w:tcPr>
                  <w:tcW w:w="52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</w:t>
                  </w:r>
                </w:p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点位</w:t>
                  </w:r>
                </w:p>
              </w:tc>
              <w:tc>
                <w:tcPr>
                  <w:tcW w:w="73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检测</w:t>
                  </w:r>
                </w:p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项目</w:t>
                  </w:r>
                </w:p>
              </w:tc>
              <w:tc>
                <w:tcPr>
                  <w:tcW w:w="720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采样时间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单位</w:t>
                  </w:r>
                </w:p>
              </w:tc>
              <w:tc>
                <w:tcPr>
                  <w:tcW w:w="642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检测结果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标准限值</w:t>
                  </w:r>
                </w:p>
              </w:tc>
              <w:tc>
                <w:tcPr>
                  <w:tcW w:w="826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污水处理厂排放口</w:t>
                  </w: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pH</w:t>
                  </w:r>
                </w:p>
              </w:tc>
              <w:tc>
                <w:tcPr>
                  <w:tcW w:w="720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7.36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6-9</w:t>
                  </w:r>
                </w:p>
              </w:tc>
              <w:tc>
                <w:tcPr>
                  <w:tcW w:w="826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每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2小时取一次样，共计12个水样，测量混合水样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SS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CODcr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9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粪大肠菌群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MPN/L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）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800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1000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7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BOD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vertAlign w:val="subscript"/>
                      <w:lang w:val="en-US" w:eastAsia="zh-CN"/>
                    </w:rPr>
                    <w:t>5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1.2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总磷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0.35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LAS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0.11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石油类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动植物油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色度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倍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2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2.24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8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总氮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6.27</w:t>
                  </w:r>
                </w:p>
              </w:tc>
              <w:tc>
                <w:tcPr>
                  <w:tcW w:w="79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污水处理厂排放口</w:t>
                  </w: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pH</w:t>
                  </w:r>
                </w:p>
              </w:tc>
              <w:tc>
                <w:tcPr>
                  <w:tcW w:w="720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7.46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6-9</w:t>
                  </w:r>
                </w:p>
              </w:tc>
              <w:tc>
                <w:tcPr>
                  <w:tcW w:w="826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7"/>
                    <w:adjustRightInd/>
                    <w:spacing w:line="240" w:lineRule="auto"/>
                    <w:ind w:firstLine="0" w:firstLineChars="0"/>
                    <w:contextualSpacing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每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2小时取一次样，共计12个水样，测量混合水样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SS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7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pStyle w:val="37"/>
                    <w:adjustRightInd/>
                    <w:spacing w:line="240" w:lineRule="auto"/>
                    <w:ind w:firstLine="0" w:firstLineChars="0"/>
                    <w:contextualSpacing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9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CODcr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9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粪大肠菌群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MPN/L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eastAsia="zh-CN"/>
                    </w:rPr>
                    <w:t>）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600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1000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BOD</w:t>
                  </w: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vertAlign w:val="subscript"/>
                      <w:lang w:val="en-US" w:eastAsia="zh-CN"/>
                    </w:rPr>
                    <w:t>5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2.5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总磷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0.37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LAS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0.10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石油类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9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动植物油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ND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  <w:t>色度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倍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2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30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 w:val="0"/>
                      <w:color w:val="000000"/>
                      <w:kern w:val="2"/>
                      <w:sz w:val="21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2.20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000000" w:sz="12" w:space="0"/>
                  <w:left w:val="single" w:color="000000" w:sz="12" w:space="0"/>
                  <w:bottom w:val="single" w:color="000000" w:sz="12" w:space="0"/>
                  <w:right w:val="single" w:color="000000" w:sz="12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</w:trPr>
              <w:tc>
                <w:tcPr>
                  <w:tcW w:w="528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15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总氮</w:t>
                  </w:r>
                </w:p>
              </w:tc>
              <w:tc>
                <w:tcPr>
                  <w:tcW w:w="720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1340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mg/L</w:t>
                  </w:r>
                </w:p>
              </w:tc>
              <w:tc>
                <w:tcPr>
                  <w:tcW w:w="114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5.97</w:t>
                  </w:r>
                </w:p>
              </w:tc>
              <w:tc>
                <w:tcPr>
                  <w:tcW w:w="1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15</w:t>
                  </w:r>
                </w:p>
              </w:tc>
              <w:tc>
                <w:tcPr>
                  <w:tcW w:w="826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</w:tbl>
          <w:p>
            <w:pPr>
              <w:pStyle w:val="33"/>
              <w:spacing w:before="156" w:beforeLines="50" w:after="156" w:afterLines="50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 xml:space="preserve">16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污水处理工程处理效率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表</w:t>
            </w:r>
          </w:p>
          <w:tbl>
            <w:tblPr>
              <w:tblStyle w:val="20"/>
              <w:tblW w:w="8909" w:type="dxa"/>
              <w:tblInd w:w="-1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5"/>
              <w:gridCol w:w="1510"/>
              <w:gridCol w:w="791"/>
              <w:gridCol w:w="791"/>
              <w:gridCol w:w="791"/>
              <w:gridCol w:w="791"/>
              <w:gridCol w:w="791"/>
              <w:gridCol w:w="792"/>
              <w:gridCol w:w="792"/>
              <w:gridCol w:w="805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8" w:hRule="atLeast"/>
              </w:trPr>
              <w:tc>
                <w:tcPr>
                  <w:tcW w:w="592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采样时间</w:t>
                  </w:r>
                </w:p>
              </w:tc>
              <w:tc>
                <w:tcPr>
                  <w:tcW w:w="847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采样点位</w:t>
                  </w:r>
                </w:p>
              </w:tc>
              <w:tc>
                <w:tcPr>
                  <w:tcW w:w="3559" w:type="pct"/>
                  <w:gridSpan w:val="8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检测项目及结果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单位: mg/L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6" w:hRule="atLeast"/>
              </w:trPr>
              <w:tc>
                <w:tcPr>
                  <w:tcW w:w="59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847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CODcr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TP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TN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BOD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bscript"/>
                      <w:lang w:val="en-US" w:eastAsia="zh-CN"/>
                    </w:rPr>
                    <w:t>5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SS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LAS</w:t>
                  </w:r>
                </w:p>
              </w:tc>
              <w:tc>
                <w:tcPr>
                  <w:tcW w:w="44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粪大肠菌群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6" w:hRule="atLeast"/>
              </w:trPr>
              <w:tc>
                <w:tcPr>
                  <w:tcW w:w="592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202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8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污水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处理工程进口（日均值）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15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7.25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0.73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9.77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3.6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42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0.12</w:t>
                  </w:r>
                </w:p>
              </w:tc>
              <w:tc>
                <w:tcPr>
                  <w:tcW w:w="44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35000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6" w:hRule="atLeast"/>
              </w:trPr>
              <w:tc>
                <w:tcPr>
                  <w:tcW w:w="59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污水处理工程出口（日均值）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9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2.24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0.35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6.27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1.2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10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0.11</w:t>
                  </w:r>
                </w:p>
              </w:tc>
              <w:tc>
                <w:tcPr>
                  <w:tcW w:w="44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800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6" w:hRule="atLeast"/>
              </w:trPr>
              <w:tc>
                <w:tcPr>
                  <w:tcW w:w="59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处理效率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40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70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52.1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36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66%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76.2%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8.4%</w:t>
                  </w:r>
                </w:p>
              </w:tc>
              <w:tc>
                <w:tcPr>
                  <w:tcW w:w="44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97.7%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6" w:hRule="atLeast"/>
              </w:trPr>
              <w:tc>
                <w:tcPr>
                  <w:tcW w:w="592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202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.5</w:t>
                  </w:r>
                </w:p>
              </w:tc>
              <w:tc>
                <w:tcPr>
                  <w:tcW w:w="8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污水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处理工程进口（日均值）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cs="Times New Roman"/>
                      <w:color w:val="000000" w:themeColor="text1"/>
                      <w:sz w:val="21"/>
                      <w:szCs w:val="21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40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7.2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0.71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9.69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5.4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40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0.12</w:t>
                  </w:r>
                </w:p>
              </w:tc>
              <w:tc>
                <w:tcPr>
                  <w:tcW w:w="44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7900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6" w:hRule="atLeast"/>
              </w:trPr>
              <w:tc>
                <w:tcPr>
                  <w:tcW w:w="59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污水处理工程出口（日均值）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cs="Times New Roman"/>
                      <w:color w:val="000000" w:themeColor="text1"/>
                      <w:sz w:val="21"/>
                      <w:szCs w:val="21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9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2.2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0.37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5.97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2.5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7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0.10</w:t>
                  </w:r>
                </w:p>
              </w:tc>
              <w:tc>
                <w:tcPr>
                  <w:tcW w:w="44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default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600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</w:trPr>
              <w:tc>
                <w:tcPr>
                  <w:tcW w:w="592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84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contextualSpacing/>
                    <w:jc w:val="center"/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处理效率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000000" w:themeColor="text1"/>
                      <w:sz w:val="21"/>
                      <w:szCs w:val="21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000000" w:themeColor="text1"/>
                      <w:kern w:val="0"/>
                      <w:sz w:val="21"/>
                      <w:szCs w:val="21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77.5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000000" w:themeColor="text1"/>
                      <w:kern w:val="0"/>
                      <w:sz w:val="21"/>
                      <w:szCs w:val="21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69.4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47.8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38.39</w:t>
                  </w:r>
                  <w:r>
                    <w:rPr>
                      <w:rFonts w:hint="default" w:ascii="Times New Roman" w:hAnsi="Times New Roman" w:eastAsia="宋体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53.7%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82.5%</w:t>
                  </w:r>
                </w:p>
              </w:tc>
              <w:tc>
                <w:tcPr>
                  <w:tcW w:w="444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16.66%</w:t>
                  </w:r>
                </w:p>
              </w:tc>
              <w:tc>
                <w:tcPr>
                  <w:tcW w:w="448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cs="Times New Roman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92.4%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422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注：上表处理效率只代表此次验收期间各污染物浓度下的处理效率。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根据上表的监测数据表明，验收期间，污水总排口各监测因子监测结果最大为pH为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7.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、CODcr监测最大浓度为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mg/L，BOD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bscript"/>
                <w:lang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监测最大浓度为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mg/L，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highlight w:val="none"/>
                <w:lang w:eastAsia="zh-CN"/>
              </w:rPr>
              <w:t>悬浮物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监测最大浓度为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mg/L，氨氮监测最大浓度为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2.24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mg/L，总磷监测最大浓度为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0.37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mg/L，总氮监测最大浓度为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6.27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mg/L，动植物油监测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未检出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，粪大肠菌群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800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CFU/L，色度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倍，石油类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监测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未检出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，LAS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监测最大浓度为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0.11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mg/L。总排口验收监测期间各监测因子浓度均符合《城镇污水处理厂污染物排放标准》（GB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89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8-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2002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）中表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一级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排放标准。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  <w:t>本工程收集的是湘阴县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湘滨镇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  <w:t>区域居民生活污水，因湘阴县居民污水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基本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  <w:t>每户均建有三合池既化粪池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+隔油池+沉渣池，所以居民污水在流入市政管网时已经经过沉淀+除油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预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处理。所以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湘滨镇</w:t>
            </w:r>
            <w:bookmarkStart w:id="2" w:name="_GoBack"/>
            <w:bookmarkEnd w:id="2"/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污水处理厂进水浓度COD、氨氮偏低。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后期在逐步完善乡镇雨污分流后污水处理厂进水浓度将改善</w:t>
            </w:r>
          </w:p>
          <w:p>
            <w:pPr>
              <w:pStyle w:val="6"/>
              <w:numPr>
                <w:ilvl w:val="0"/>
                <w:numId w:val="0"/>
              </w:numPr>
              <w:spacing w:line="360" w:lineRule="auto"/>
              <w:ind w:firstLine="56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废气监测结果及评价</w:t>
            </w:r>
          </w:p>
          <w:p>
            <w:pPr>
              <w:pStyle w:val="6"/>
              <w:spacing w:line="360" w:lineRule="auto"/>
              <w:ind w:left="480" w:left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本次厂界无组织废气污染物排放监测结果详见表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：</w:t>
            </w:r>
          </w:p>
          <w:p>
            <w:pPr>
              <w:pStyle w:val="33"/>
              <w:spacing w:before="156" w:beforeLines="50" w:after="156" w:afterLines="50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表1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 xml:space="preserve">  厂界无组织废气监测结果一览表</w:t>
            </w:r>
          </w:p>
          <w:tbl>
            <w:tblPr>
              <w:tblStyle w:val="19"/>
              <w:tblW w:w="4997" w:type="pct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01"/>
              <w:gridCol w:w="759"/>
              <w:gridCol w:w="1027"/>
              <w:gridCol w:w="1027"/>
              <w:gridCol w:w="1032"/>
              <w:gridCol w:w="1002"/>
              <w:gridCol w:w="888"/>
              <w:gridCol w:w="907"/>
              <w:gridCol w:w="1253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7" w:hRule="atLeast"/>
                <w:tblHeader/>
                <w:jc w:val="center"/>
              </w:trPr>
              <w:tc>
                <w:tcPr>
                  <w:tcW w:w="563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监测点位</w:t>
                  </w:r>
                </w:p>
              </w:tc>
              <w:tc>
                <w:tcPr>
                  <w:tcW w:w="42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监测项目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单位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监测时间</w:t>
                  </w:r>
                </w:p>
              </w:tc>
              <w:tc>
                <w:tcPr>
                  <w:tcW w:w="2152" w:type="pct"/>
                  <w:gridSpan w:val="4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监测结果</w:t>
                  </w:r>
                </w:p>
              </w:tc>
              <w:tc>
                <w:tcPr>
                  <w:tcW w:w="701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标准值（mg/m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  <w:lang w:eastAsia="zh-CN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7" w:hRule="atLeast"/>
                <w:tblHeader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第一次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第二次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第三次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第四次</w:t>
                  </w:r>
                </w:p>
              </w:tc>
              <w:tc>
                <w:tcPr>
                  <w:tcW w:w="701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pStyle w:val="33"/>
                    <w:spacing w:line="240" w:lineRule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厂界下风向点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氨气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  <w:lang w:eastAsia="zh-CN"/>
                    </w:rPr>
                    <w:t>3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lang w:val="en-US" w:eastAsia="zh-CN"/>
                    </w:rPr>
                    <w:t>0.15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lang w:val="en-US" w:eastAsia="zh-CN"/>
                    </w:rPr>
                    <w:t>0.10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lang w:val="en-US" w:eastAsia="zh-CN"/>
                    </w:rPr>
                    <w:t>0.15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0.12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硫化氢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0.013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0.007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0.001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0.06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臭气浓度</w:t>
                  </w:r>
                </w:p>
              </w:tc>
              <w:tc>
                <w:tcPr>
                  <w:tcW w:w="57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厂界下风向点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氨气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  <w:lang w:eastAsia="zh-CN"/>
                    </w:rPr>
                    <w:t>3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lang w:val="en-US" w:eastAsia="zh-CN"/>
                    </w:rPr>
                    <w:t>0.01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lang w:val="en-US" w:eastAsia="zh-CN"/>
                    </w:rPr>
                    <w:t>0.14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lang w:val="en-US" w:eastAsia="zh-CN"/>
                    </w:rPr>
                    <w:t>0.04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0.17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硫化氢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0.001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0.06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臭气浓度</w:t>
                  </w:r>
                </w:p>
              </w:tc>
              <w:tc>
                <w:tcPr>
                  <w:tcW w:w="57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厂界下风向点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氨气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  <w:lang w:eastAsia="zh-CN"/>
                    </w:rPr>
                    <w:t>3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lang w:val="en-US" w:eastAsia="zh-CN"/>
                    </w:rPr>
                    <w:t>0.05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lang w:val="en-US" w:eastAsia="zh-CN"/>
                    </w:rPr>
                    <w:t>0.18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lang w:val="en-US" w:eastAsia="zh-CN"/>
                    </w:rPr>
                    <w:t>0.06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0.16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硫化氢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0.003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0.06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臭气浓度</w:t>
                  </w:r>
                </w:p>
              </w:tc>
              <w:tc>
                <w:tcPr>
                  <w:tcW w:w="57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厂界下风向点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氨气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  <w:lang w:eastAsia="zh-CN"/>
                    </w:rPr>
                    <w:t>3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0.15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0.11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0.05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0.06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硫化氢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0.001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0.001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0.001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0.06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臭气浓度</w:t>
                  </w:r>
                </w:p>
              </w:tc>
              <w:tc>
                <w:tcPr>
                  <w:tcW w:w="57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厂界下风向点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氨气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  <w:lang w:eastAsia="zh-CN"/>
                    </w:rPr>
                    <w:t>3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0.11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0.12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0.23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0.11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硫化氢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0.003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color w:val="auto"/>
                      <w:kern w:val="2"/>
                      <w:sz w:val="21"/>
                      <w:szCs w:val="22"/>
                      <w:lang w:val="en-US" w:eastAsia="zh-CN" w:bidi="ar-SA"/>
                    </w:rPr>
                    <w:t>0.001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0.003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0.06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臭气浓度</w:t>
                  </w:r>
                </w:p>
              </w:tc>
              <w:tc>
                <w:tcPr>
                  <w:tcW w:w="57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厂界下风向点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氨气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mg/m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  <w:lang w:eastAsia="zh-CN"/>
                    </w:rPr>
                    <w:t>3</w:t>
                  </w:r>
                </w:p>
              </w:tc>
              <w:tc>
                <w:tcPr>
                  <w:tcW w:w="577" w:type="pct"/>
                  <w:vMerge w:val="restar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0.04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0.06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0.05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0.08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1.5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硫化氢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0.003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0.007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0.002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0.06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4" w:hRule="atLeast"/>
                <w:jc w:val="center"/>
              </w:trPr>
              <w:tc>
                <w:tcPr>
                  <w:tcW w:w="563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42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臭气浓度</w:t>
                  </w:r>
                </w:p>
              </w:tc>
              <w:tc>
                <w:tcPr>
                  <w:tcW w:w="577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无量纲</w:t>
                  </w:r>
                </w:p>
              </w:tc>
              <w:tc>
                <w:tcPr>
                  <w:tcW w:w="577" w:type="pct"/>
                  <w:vMerge w:val="continue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contextualSpacing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58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63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49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 w:line="240" w:lineRule="auto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50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leftChars="0" w:right="0" w:rightChars="0"/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kern w:val="2"/>
                      <w:sz w:val="21"/>
                      <w:szCs w:val="22"/>
                      <w:lang w:val="en-US" w:eastAsia="zh-CN" w:bidi="ar-SA"/>
                    </w:rPr>
                    <w:t>10</w:t>
                  </w:r>
                </w:p>
              </w:tc>
              <w:tc>
                <w:tcPr>
                  <w:tcW w:w="701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33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000" w:type="pct"/>
                  <w:gridSpan w:val="9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pStyle w:val="6"/>
                    <w:spacing w:line="240" w:lineRule="auto"/>
                    <w:ind w:firstLine="420" w:firstLineChars="200"/>
                    <w:jc w:val="both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标准限值：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《城镇污水处理厂污染物排放标准》（GB18918-2002）中表4的“厂界（防护带边缘）废气排放最高允许浓度”的二级标准。</w:t>
                  </w:r>
                </w:p>
              </w:tc>
            </w:tr>
          </w:tbl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由表1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监测结果可知，本项目营运期无组织废气排放氨气最大值为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0.23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mg/m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，硫化氢最大值为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0.013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mg/m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、臭气浓度均未检出，符合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《城镇污水处理厂污染物排放标准》（GB18918-2002）中表4的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厂界（防护带边缘）废气排放最高允许浓度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的二级标准。</w:t>
            </w:r>
          </w:p>
          <w:p>
            <w:pPr>
              <w:pStyle w:val="6"/>
              <w:numPr>
                <w:ilvl w:val="0"/>
                <w:numId w:val="0"/>
              </w:numPr>
              <w:spacing w:line="360" w:lineRule="auto"/>
              <w:ind w:firstLine="56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噪声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>监测结果及评价</w:t>
            </w:r>
          </w:p>
          <w:p>
            <w:pPr>
              <w:spacing w:line="360" w:lineRule="auto"/>
              <w:ind w:firstLine="48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本工程噪声监测结果详见表1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：</w:t>
            </w:r>
          </w:p>
          <w:p>
            <w:pPr>
              <w:pStyle w:val="33"/>
              <w:spacing w:before="156" w:beforeLines="50" w:after="156" w:afterLines="50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表1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 xml:space="preserve">  厂界噪声监测结果一览表</w:t>
            </w:r>
          </w:p>
          <w:tbl>
            <w:tblPr>
              <w:tblStyle w:val="19"/>
              <w:tblW w:w="4996" w:type="pct"/>
              <w:jc w:val="center"/>
              <w:tblBorders>
                <w:top w:val="single" w:color="auto" w:sz="12" w:space="0"/>
                <w:left w:val="single" w:color="auto" w:sz="2" w:space="0"/>
                <w:bottom w:val="single" w:color="auto" w:sz="12" w:space="0"/>
                <w:right w:val="single" w:color="auto" w:sz="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68"/>
              <w:gridCol w:w="1472"/>
              <w:gridCol w:w="1200"/>
              <w:gridCol w:w="1283"/>
              <w:gridCol w:w="1304"/>
              <w:gridCol w:w="1290"/>
              <w:gridCol w:w="1302"/>
            </w:tblGrid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  <w:jc w:val="center"/>
              </w:trPr>
              <w:tc>
                <w:tcPr>
                  <w:tcW w:w="599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点位序号</w:t>
                  </w:r>
                </w:p>
              </w:tc>
              <w:tc>
                <w:tcPr>
                  <w:tcW w:w="825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采样位置</w:t>
                  </w:r>
                </w:p>
              </w:tc>
              <w:tc>
                <w:tcPr>
                  <w:tcW w:w="673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采样时间</w:t>
                  </w:r>
                </w:p>
              </w:tc>
              <w:tc>
                <w:tcPr>
                  <w:tcW w:w="1450" w:type="pct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检测结果dB(A)</w:t>
                  </w:r>
                </w:p>
              </w:tc>
              <w:tc>
                <w:tcPr>
                  <w:tcW w:w="1450" w:type="pct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sz w:val="21"/>
                      <w:szCs w:val="21"/>
                      <w:lang w:val="en-US" w:eastAsia="zh-CN"/>
                    </w:rPr>
                    <w:t>标准值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825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673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 xml:space="preserve"> 昼间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夜间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 xml:space="preserve"> 昼间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夜间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N1</w:t>
                  </w:r>
                </w:p>
              </w:tc>
              <w:tc>
                <w:tcPr>
                  <w:tcW w:w="825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厂界东侧外一米处</w:t>
                  </w: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55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46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825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53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46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N2</w:t>
                  </w:r>
                </w:p>
              </w:tc>
              <w:tc>
                <w:tcPr>
                  <w:tcW w:w="825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厂界南侧外一米处</w:t>
                  </w: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52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46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825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51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43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N3</w:t>
                  </w:r>
                </w:p>
              </w:tc>
              <w:tc>
                <w:tcPr>
                  <w:tcW w:w="825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厂界西侧外一米处</w:t>
                  </w: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50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43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825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53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42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 w:hRule="atLeast"/>
                <w:jc w:val="center"/>
              </w:trPr>
              <w:tc>
                <w:tcPr>
                  <w:tcW w:w="599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N4</w:t>
                  </w:r>
                </w:p>
              </w:tc>
              <w:tc>
                <w:tcPr>
                  <w:tcW w:w="825" w:type="pct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厂界北侧外一米处</w:t>
                  </w: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4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52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48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99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825" w:type="pct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67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val="en-US" w:eastAsia="zh-CN"/>
                    </w:rPr>
                    <w:t>6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月</w:t>
                  </w: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日</w:t>
                  </w:r>
                </w:p>
              </w:tc>
              <w:tc>
                <w:tcPr>
                  <w:tcW w:w="719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51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43</w:t>
                  </w:r>
                </w:p>
              </w:tc>
              <w:tc>
                <w:tcPr>
                  <w:tcW w:w="723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60</w:t>
                  </w:r>
                </w:p>
              </w:tc>
              <w:tc>
                <w:tcPr>
                  <w:tcW w:w="727" w:type="pc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2" w:space="0"/>
                  <w:bottom w:val="single" w:color="auto" w:sz="12" w:space="0"/>
                  <w:right w:val="single" w:color="auto" w:sz="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5000" w:type="pct"/>
                  <w:gridSpan w:val="7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标准限值：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《工业企业厂界环境噪声排放标准》（GB12348-2008）2类标准</w:t>
                  </w:r>
                </w:p>
              </w:tc>
            </w:tr>
          </w:tbl>
          <w:p>
            <w:pPr>
              <w:spacing w:line="360" w:lineRule="auto"/>
              <w:ind w:firstLine="48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由表1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可知，本项目验收期间厂界四周昼间最大噪声值为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dB(A)，夜间最大噪声值为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dB(A)，均能达到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《工业企业厂界环境噪声排放标准》（GB 12348-2008）2类标准。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56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5、总量控制指标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本项目营运期总量控制指标：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环评批复中总量控制指标要求（COD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cr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≤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5.745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t/a、NH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-N≤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0.548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t/a）。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验收监测期间污染物平均浓度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COD：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mg/L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氨氮：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2.22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mg/L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按照满负荷运行水量（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109500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t/a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）污染物排放总量核算如下：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COD：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109500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t/a×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mg/L×10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val="en-US" w:eastAsia="zh-CN"/>
              </w:rPr>
              <w:t>-6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0.9855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t/a&lt;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5.745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t/a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氨氮：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109500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t/a×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2.22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mg/L×10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val="en-US" w:eastAsia="zh-CN"/>
              </w:rPr>
              <w:t>-6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0.24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t/a&lt;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0.548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t/a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综上本项目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COD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bscript"/>
                <w:lang w:val="en-US" w:eastAsia="zh-CN"/>
              </w:rPr>
              <w:t>cr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NH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-N年排放量满足总量指标要求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lang w:eastAsia="zh-CN"/>
              </w:rPr>
              <w:br w:type="textWrapping"/>
            </w:r>
          </w:p>
        </w:tc>
      </w:tr>
    </w:tbl>
    <w:p>
      <w:pPr>
        <w:widowControl/>
        <w:autoSpaceDE/>
        <w:autoSpaceDN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</w:p>
    <w:p>
      <w:pPr>
        <w:widowControl/>
        <w:autoSpaceDE/>
        <w:autoSpaceDN/>
        <w:rPr>
          <w:rFonts w:hint="default" w:ascii="Times New Roman" w:hAnsi="Times New Roman" w:eastAsia="宋体" w:cs="Times New Roman"/>
          <w:b/>
          <w:bCs/>
          <w:vertAlign w:val="baseline"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表八</w:t>
      </w:r>
    </w:p>
    <w:tbl>
      <w:tblPr>
        <w:tblStyle w:val="2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验收监测结论：</w:t>
            </w:r>
          </w:p>
          <w:p>
            <w:pPr>
              <w:pStyle w:val="6"/>
              <w:spacing w:line="360" w:lineRule="auto"/>
              <w:ind w:firstLine="56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1、验收监测达标情况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（1）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废气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本项目验收期间无组织废气排放放氨气最大值为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0.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mg/m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，硫化氢最大值为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mg/m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、臭气浓度均未检出，符合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《城镇污水处理厂污染物排放标准》（GB18918-2002）中表4的“厂界（防护带边缘）废气排放最高允许浓度”的二级标准。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（2）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废水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contextualSpacing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验收期间，污水总排口各监测因子监测结果均符合《城镇污水处理厂污染物排放标准》（GB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89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8-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2002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）中表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一级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排放标准。</w:t>
            </w:r>
          </w:p>
          <w:p>
            <w:pPr>
              <w:pStyle w:val="6"/>
              <w:numPr>
                <w:ilvl w:val="0"/>
                <w:numId w:val="2"/>
              </w:numPr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噪声</w:t>
            </w:r>
          </w:p>
          <w:p>
            <w:pPr>
              <w:pStyle w:val="6"/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本项目验收期间厂界四周昼间最大噪声值为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dB(A)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  <w:t>，夜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间最大噪声值为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dB(A)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均能达到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《工业企业厂界环境噪声排放标准》（GB 12348-2008）2类标准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。</w:t>
            </w:r>
          </w:p>
          <w:p>
            <w:pPr>
              <w:pStyle w:val="6"/>
              <w:numPr>
                <w:ilvl w:val="0"/>
                <w:numId w:val="2"/>
              </w:numPr>
              <w:spacing w:line="360" w:lineRule="auto"/>
              <w:ind w:left="0" w:leftChars="0"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固废</w:t>
            </w:r>
          </w:p>
          <w:p>
            <w:pPr>
              <w:pStyle w:val="6"/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生产营运期间，所有固废均去除明确，处置合理，满足环保管理要求。</w:t>
            </w:r>
          </w:p>
          <w:p>
            <w:pPr>
              <w:pStyle w:val="6"/>
              <w:numPr>
                <w:ilvl w:val="0"/>
                <w:numId w:val="2"/>
              </w:numPr>
              <w:spacing w:line="360" w:lineRule="auto"/>
              <w:ind w:left="0" w:leftChars="0" w:firstLine="560" w:firstLineChars="2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  <w:t>污染物总量控制情况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项目营运期不设置废气污染物总量控制指标。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项目验收监测期间废水排放平均浓度为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COD</w:t>
            </w:r>
            <w:r>
              <w:rPr>
                <w:rFonts w:hint="eastAsia" w:cs="Times New Roman"/>
                <w:sz w:val="28"/>
                <w:szCs w:val="28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mg/L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，氨氮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2.22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mg/L。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根据验收监测污染物平均浓度和项目设计废水排放量计算，项目外排废水中主要污染物化学需氧量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0.9855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t/a、氨氮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0.24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eastAsia="zh-CN"/>
              </w:rPr>
              <w:t>t/a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，符合环评批复中总量控制指标要求（COD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5.745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t/a、NH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-N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0.548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t/a）。</w:t>
            </w:r>
          </w:p>
          <w:p>
            <w:pPr>
              <w:pStyle w:val="6"/>
              <w:spacing w:line="360" w:lineRule="auto"/>
              <w:ind w:firstLine="56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、环境管理检查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公司制定了环保规章制度，有专人负责环保现场管理，建立了一套完整的规章制度，设立了环境保护管理档案。制定环境保护设施操作规程，加强巡查，确保污染物稳定达标外排。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根据《排污许可管理办法（试行）》（环境保护部令第48号，2019年8月22日生态环境部令第7号修改）和《固定污染源排污许可分类管理名录(2019年版)》（生态环境部令第11号），项目所属行业为水的生产和供应业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462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中污水处理及再生利用行业，属于实行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登记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管理的排污单位，应当在全国排污许可证管理信息平台填报排污登记表。公司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已完成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排污许可证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，岳阳市生态环境局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下发排污许可证，排污许可证编号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91430624MA4PLH2X0Q003Y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。</w:t>
            </w:r>
          </w:p>
          <w:p>
            <w:pPr>
              <w:pStyle w:val="6"/>
              <w:spacing w:line="360" w:lineRule="auto"/>
              <w:ind w:firstLine="560" w:firstLineChars="200"/>
              <w:jc w:val="both"/>
              <w:rPr>
                <w:rFonts w:hint="default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本项目已经编写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《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湘阴县湘滨镇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污水处理厂突发环境事件应急预案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》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，并已在岳阳市生态环境局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湘阴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分局备案。</w:t>
            </w:r>
          </w:p>
          <w:p>
            <w:pPr>
              <w:pStyle w:val="6"/>
              <w:spacing w:line="360" w:lineRule="auto"/>
              <w:ind w:firstLine="562" w:firstLineChars="200"/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eastAsia="zh-CN"/>
              </w:rPr>
              <w:t>、总结论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我公司</w:t>
            </w:r>
            <w:r>
              <w:rPr>
                <w:rFonts w:hint="eastAsia" w:cs="Times New Roman"/>
                <w:sz w:val="28"/>
                <w:szCs w:val="28"/>
                <w:lang w:eastAsia="zh-CN"/>
              </w:rPr>
              <w:t>湘阴湘滨镇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污水处理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(处理规模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00m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/d)建设项目各项配套建设环保设施运转正常，废水、废气、噪声达标排放，固体废物分类收集处理，达到环保竣工验收条件。</w:t>
            </w:r>
          </w:p>
        </w:tc>
      </w:tr>
    </w:tbl>
    <w:p>
      <w:pPr>
        <w:widowControl/>
        <w:autoSpaceDE/>
        <w:autoSpaceDN/>
        <w:rPr>
          <w:rFonts w:hint="default" w:ascii="Times New Roman" w:hAnsi="Times New Roman" w:eastAsia="宋体" w:cs="Times New Roman"/>
          <w:lang w:val="en-US" w:eastAsia="zh-CN"/>
        </w:rPr>
        <w:sectPr>
          <w:headerReference r:id="rId6" w:type="default"/>
          <w:footerReference r:id="rId7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新宋体-18030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  <w:rPr>
        <w:rFonts w:ascii="Times New Roman" w:hAnsi="Times New Roman"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ind w:firstLine="0"/>
      <w:rPr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lang w:eastAsia="zh-CN"/>
      </w:rPr>
    </w:pPr>
    <w:r>
      <w:rPr>
        <w:rFonts w:hint="eastAsia"/>
        <w:spacing w:val="-2"/>
        <w:szCs w:val="21"/>
        <w:lang w:eastAsia="zh-CN"/>
      </w:rPr>
      <w:t>岳阳安泰实业有限公司纸制品加工项目</w:t>
    </w:r>
    <w:r>
      <w:rPr>
        <w:rFonts w:hint="eastAsia"/>
        <w:lang w:eastAsia="zh-CN"/>
      </w:rPr>
      <w:t>竣工环保验收监测报告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ind w:firstLine="0"/>
      <w:rPr>
        <w:lang w:eastAsia="zh-CN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ind w:firstLine="0"/>
      <w:jc w:val="both"/>
      <w:rPr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9AAA40"/>
    <w:multiLevelType w:val="singleLevel"/>
    <w:tmpl w:val="849AAA40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0000006"/>
    <w:multiLevelType w:val="multilevel"/>
    <w:tmpl w:val="00000006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lvlText w:val="%2."/>
      <w:lvlJc w:val="left"/>
      <w:pPr>
        <w:ind w:left="0" w:firstLine="0"/>
      </w:pPr>
      <w:rPr>
        <w:rFonts w:hint="eastAsia"/>
        <w:b w:val="0"/>
        <w:i w:val="0"/>
        <w:sz w:val="32"/>
        <w:szCs w:val="32"/>
      </w:rPr>
    </w:lvl>
    <w:lvl w:ilvl="2" w:tentative="0">
      <w:start w:val="1"/>
      <w:numFmt w:val="decimal"/>
      <w:pStyle w:val="29"/>
      <w:suff w:val="nothing"/>
      <w:lvlText w:val="%1%2.%3　"/>
      <w:lvlJc w:val="left"/>
      <w:pPr>
        <w:ind w:left="426" w:firstLine="0"/>
      </w:pPr>
      <w:rPr>
        <w:rFonts w:hint="eastAsia" w:ascii="黑体" w:hAnsi="Times New Roman" w:eastAsia="黑体"/>
        <w:b w:val="0"/>
        <w:i w:val="0"/>
        <w:sz w:val="28"/>
        <w:szCs w:val="28"/>
      </w:rPr>
    </w:lvl>
    <w:lvl w:ilvl="3" w:tentative="0">
      <w:start w:val="1"/>
      <w:numFmt w:val="decimal"/>
      <w:pStyle w:val="28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4D8"/>
    <w:rsid w:val="00001553"/>
    <w:rsid w:val="0002477C"/>
    <w:rsid w:val="000467A4"/>
    <w:rsid w:val="00057D07"/>
    <w:rsid w:val="00094AA5"/>
    <w:rsid w:val="000A4F55"/>
    <w:rsid w:val="0011210C"/>
    <w:rsid w:val="0011371B"/>
    <w:rsid w:val="00124127"/>
    <w:rsid w:val="0015332B"/>
    <w:rsid w:val="002449D0"/>
    <w:rsid w:val="002A00C5"/>
    <w:rsid w:val="002B3645"/>
    <w:rsid w:val="002F3E81"/>
    <w:rsid w:val="00316DD9"/>
    <w:rsid w:val="003262B4"/>
    <w:rsid w:val="003828D4"/>
    <w:rsid w:val="003831C1"/>
    <w:rsid w:val="0040783A"/>
    <w:rsid w:val="0042391F"/>
    <w:rsid w:val="00450403"/>
    <w:rsid w:val="00467D73"/>
    <w:rsid w:val="00472F13"/>
    <w:rsid w:val="004B4C2F"/>
    <w:rsid w:val="005114DE"/>
    <w:rsid w:val="00516780"/>
    <w:rsid w:val="005D22C3"/>
    <w:rsid w:val="005E0FA0"/>
    <w:rsid w:val="005E5B4B"/>
    <w:rsid w:val="00606EAE"/>
    <w:rsid w:val="00710251"/>
    <w:rsid w:val="00750094"/>
    <w:rsid w:val="00750402"/>
    <w:rsid w:val="007A6B1B"/>
    <w:rsid w:val="007C34A6"/>
    <w:rsid w:val="007D4EBF"/>
    <w:rsid w:val="008537EF"/>
    <w:rsid w:val="008726B9"/>
    <w:rsid w:val="008875DF"/>
    <w:rsid w:val="008B0C2E"/>
    <w:rsid w:val="008B0D0B"/>
    <w:rsid w:val="008C7567"/>
    <w:rsid w:val="008E77A8"/>
    <w:rsid w:val="00944913"/>
    <w:rsid w:val="0099623D"/>
    <w:rsid w:val="00997DE6"/>
    <w:rsid w:val="009E500E"/>
    <w:rsid w:val="00A63783"/>
    <w:rsid w:val="00AA5225"/>
    <w:rsid w:val="00B4553B"/>
    <w:rsid w:val="00B55022"/>
    <w:rsid w:val="00B61A0D"/>
    <w:rsid w:val="00B838B5"/>
    <w:rsid w:val="00BC27B0"/>
    <w:rsid w:val="00BD293E"/>
    <w:rsid w:val="00BF3EC4"/>
    <w:rsid w:val="00BF42E5"/>
    <w:rsid w:val="00C17821"/>
    <w:rsid w:val="00C21B87"/>
    <w:rsid w:val="00C24112"/>
    <w:rsid w:val="00C37F78"/>
    <w:rsid w:val="00C624D8"/>
    <w:rsid w:val="00C85F42"/>
    <w:rsid w:val="00CF447C"/>
    <w:rsid w:val="00CF5E8F"/>
    <w:rsid w:val="00D32743"/>
    <w:rsid w:val="00DC1421"/>
    <w:rsid w:val="00DC6D5A"/>
    <w:rsid w:val="00DE7B2C"/>
    <w:rsid w:val="00E27BF7"/>
    <w:rsid w:val="00E5524F"/>
    <w:rsid w:val="00ED20E2"/>
    <w:rsid w:val="00EE7133"/>
    <w:rsid w:val="00F056CA"/>
    <w:rsid w:val="00F34872"/>
    <w:rsid w:val="00F617B5"/>
    <w:rsid w:val="00F67804"/>
    <w:rsid w:val="00F860BA"/>
    <w:rsid w:val="00F97DEF"/>
    <w:rsid w:val="00FB62FD"/>
    <w:rsid w:val="00FF131B"/>
    <w:rsid w:val="018F44B3"/>
    <w:rsid w:val="027D6D7D"/>
    <w:rsid w:val="04B04683"/>
    <w:rsid w:val="04DC4528"/>
    <w:rsid w:val="052C3662"/>
    <w:rsid w:val="065C723D"/>
    <w:rsid w:val="066B3C46"/>
    <w:rsid w:val="07267531"/>
    <w:rsid w:val="076E7CFB"/>
    <w:rsid w:val="07F73AB7"/>
    <w:rsid w:val="0845351A"/>
    <w:rsid w:val="0A381EBB"/>
    <w:rsid w:val="0B51749E"/>
    <w:rsid w:val="0CAD1DE1"/>
    <w:rsid w:val="0CDD768E"/>
    <w:rsid w:val="0DE94B71"/>
    <w:rsid w:val="0FFE0CE7"/>
    <w:rsid w:val="100542D7"/>
    <w:rsid w:val="11806714"/>
    <w:rsid w:val="12020996"/>
    <w:rsid w:val="13937B92"/>
    <w:rsid w:val="14241922"/>
    <w:rsid w:val="154C1F8E"/>
    <w:rsid w:val="15D722E2"/>
    <w:rsid w:val="1636229A"/>
    <w:rsid w:val="169267A3"/>
    <w:rsid w:val="17D1493A"/>
    <w:rsid w:val="19962D15"/>
    <w:rsid w:val="1997073F"/>
    <w:rsid w:val="19A53807"/>
    <w:rsid w:val="1A0C1E0A"/>
    <w:rsid w:val="1A9A02C2"/>
    <w:rsid w:val="1B331B16"/>
    <w:rsid w:val="1B6437F4"/>
    <w:rsid w:val="1BD06EA3"/>
    <w:rsid w:val="1C413F19"/>
    <w:rsid w:val="1E3656D2"/>
    <w:rsid w:val="1F22707D"/>
    <w:rsid w:val="1FA647ED"/>
    <w:rsid w:val="20337EF7"/>
    <w:rsid w:val="221730F9"/>
    <w:rsid w:val="228C0DE1"/>
    <w:rsid w:val="23977A5C"/>
    <w:rsid w:val="23E301DA"/>
    <w:rsid w:val="244572E6"/>
    <w:rsid w:val="24A013C2"/>
    <w:rsid w:val="270B6624"/>
    <w:rsid w:val="27A7247C"/>
    <w:rsid w:val="28276E2A"/>
    <w:rsid w:val="29B841AE"/>
    <w:rsid w:val="29D77703"/>
    <w:rsid w:val="2AA066ED"/>
    <w:rsid w:val="2C583D4D"/>
    <w:rsid w:val="2CEE28C4"/>
    <w:rsid w:val="2EE84BBF"/>
    <w:rsid w:val="2F0E00F3"/>
    <w:rsid w:val="2FB35175"/>
    <w:rsid w:val="304C3C7C"/>
    <w:rsid w:val="321B0D38"/>
    <w:rsid w:val="32316FBA"/>
    <w:rsid w:val="32C633E7"/>
    <w:rsid w:val="34552671"/>
    <w:rsid w:val="349C2D9D"/>
    <w:rsid w:val="34E578DB"/>
    <w:rsid w:val="35242C04"/>
    <w:rsid w:val="352A52FC"/>
    <w:rsid w:val="36614048"/>
    <w:rsid w:val="36B3056A"/>
    <w:rsid w:val="3709297F"/>
    <w:rsid w:val="379806C5"/>
    <w:rsid w:val="397317B1"/>
    <w:rsid w:val="397B1DE0"/>
    <w:rsid w:val="3A157C0D"/>
    <w:rsid w:val="3BA53BF4"/>
    <w:rsid w:val="3C5941B2"/>
    <w:rsid w:val="3FA271D0"/>
    <w:rsid w:val="41D122AE"/>
    <w:rsid w:val="421537EA"/>
    <w:rsid w:val="43347DAE"/>
    <w:rsid w:val="44840028"/>
    <w:rsid w:val="44AE2CDC"/>
    <w:rsid w:val="45841568"/>
    <w:rsid w:val="46C65480"/>
    <w:rsid w:val="47D417F9"/>
    <w:rsid w:val="480E56A3"/>
    <w:rsid w:val="4816748A"/>
    <w:rsid w:val="4A94790B"/>
    <w:rsid w:val="4C4026B4"/>
    <w:rsid w:val="4D4544E0"/>
    <w:rsid w:val="4D6B1BF2"/>
    <w:rsid w:val="4E3D3EC0"/>
    <w:rsid w:val="4EF01073"/>
    <w:rsid w:val="4FDF5231"/>
    <w:rsid w:val="50F67F49"/>
    <w:rsid w:val="513F699C"/>
    <w:rsid w:val="51C64B2D"/>
    <w:rsid w:val="53735E4F"/>
    <w:rsid w:val="53B95B6C"/>
    <w:rsid w:val="54E77701"/>
    <w:rsid w:val="55C863B6"/>
    <w:rsid w:val="564E3A49"/>
    <w:rsid w:val="56BE130A"/>
    <w:rsid w:val="58004B74"/>
    <w:rsid w:val="58BF6C22"/>
    <w:rsid w:val="590A3F2D"/>
    <w:rsid w:val="590C40DE"/>
    <w:rsid w:val="593847DB"/>
    <w:rsid w:val="5AAC0CA5"/>
    <w:rsid w:val="5B2A1A98"/>
    <w:rsid w:val="5B8511E1"/>
    <w:rsid w:val="5C3E40B6"/>
    <w:rsid w:val="5C890207"/>
    <w:rsid w:val="5CC42E7E"/>
    <w:rsid w:val="5D483831"/>
    <w:rsid w:val="5DA40D28"/>
    <w:rsid w:val="5FDA0E7F"/>
    <w:rsid w:val="600C174F"/>
    <w:rsid w:val="612A158C"/>
    <w:rsid w:val="6133177E"/>
    <w:rsid w:val="62AB6008"/>
    <w:rsid w:val="650D0350"/>
    <w:rsid w:val="6842703F"/>
    <w:rsid w:val="69C15BAD"/>
    <w:rsid w:val="6A035AB2"/>
    <w:rsid w:val="6B440F3A"/>
    <w:rsid w:val="6B807552"/>
    <w:rsid w:val="6BD90F6A"/>
    <w:rsid w:val="6CCB7A68"/>
    <w:rsid w:val="6EB2407D"/>
    <w:rsid w:val="6EC05989"/>
    <w:rsid w:val="6F54064D"/>
    <w:rsid w:val="70305B32"/>
    <w:rsid w:val="71BD11F8"/>
    <w:rsid w:val="72022518"/>
    <w:rsid w:val="72B62309"/>
    <w:rsid w:val="72F50CAB"/>
    <w:rsid w:val="73EA2F07"/>
    <w:rsid w:val="74881452"/>
    <w:rsid w:val="74E81560"/>
    <w:rsid w:val="75150004"/>
    <w:rsid w:val="76EF7BD3"/>
    <w:rsid w:val="789850D7"/>
    <w:rsid w:val="7A44519B"/>
    <w:rsid w:val="7A9A087C"/>
    <w:rsid w:val="7B7B6697"/>
    <w:rsid w:val="7D7C0FEB"/>
    <w:rsid w:val="7DBF6B88"/>
    <w:rsid w:val="7EF6102F"/>
    <w:rsid w:val="7F97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Times New Roman" w:hAnsi="Times New Roman" w:eastAsia="宋体" w:cs="Noto Sans Mono CJK JP Regular"/>
      <w:kern w:val="0"/>
      <w:sz w:val="24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100" w:line="360" w:lineRule="auto"/>
      <w:outlineLvl w:val="0"/>
    </w:pPr>
    <w:rPr>
      <w:bCs/>
      <w:kern w:val="44"/>
      <w:sz w:val="30"/>
      <w:szCs w:val="44"/>
    </w:rPr>
  </w:style>
  <w:style w:type="paragraph" w:styleId="4">
    <w:name w:val="heading 2"/>
    <w:basedOn w:val="1"/>
    <w:next w:val="5"/>
    <w:link w:val="22"/>
    <w:qFormat/>
    <w:uiPriority w:val="0"/>
    <w:pPr>
      <w:keepNext/>
      <w:keepLines/>
      <w:spacing w:before="240" w:after="120" w:line="360" w:lineRule="auto"/>
      <w:outlineLvl w:val="1"/>
    </w:pPr>
    <w:rPr>
      <w:rFonts w:ascii="Times New Roman" w:hAnsi="Times New Roman" w:eastAsia="宋体"/>
      <w:b/>
      <w:sz w:val="28"/>
      <w:szCs w:val="28"/>
    </w:rPr>
  </w:style>
  <w:style w:type="paragraph" w:styleId="8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7"/>
    <w:next w:val="1"/>
    <w:qFormat/>
    <w:uiPriority w:val="0"/>
    <w:pPr>
      <w:adjustRightInd w:val="0"/>
      <w:snapToGrid w:val="0"/>
      <w:spacing w:line="360" w:lineRule="auto"/>
      <w:jc w:val="center"/>
      <w:outlineLvl w:val="6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5">
    <w:name w:val="Body Text First Indent"/>
    <w:basedOn w:val="6"/>
    <w:next w:val="1"/>
    <w:link w:val="36"/>
    <w:semiHidden/>
    <w:unhideWhenUsed/>
    <w:qFormat/>
    <w:uiPriority w:val="99"/>
    <w:pPr>
      <w:spacing w:after="120"/>
      <w:ind w:firstLine="420" w:firstLineChars="100"/>
    </w:pPr>
    <w:rPr>
      <w:sz w:val="22"/>
      <w:szCs w:val="22"/>
    </w:rPr>
  </w:style>
  <w:style w:type="paragraph" w:styleId="6">
    <w:name w:val="Body Text"/>
    <w:basedOn w:val="1"/>
    <w:next w:val="7"/>
    <w:link w:val="24"/>
    <w:qFormat/>
    <w:uiPriority w:val="1"/>
    <w:rPr>
      <w:sz w:val="24"/>
      <w:szCs w:val="24"/>
    </w:rPr>
  </w:style>
  <w:style w:type="paragraph" w:customStyle="1" w:styleId="7">
    <w:name w:val="xl27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新宋体-18030" w:hAnsi="新宋体-18030" w:eastAsia="新宋体-18030" w:cs="新宋体-18030"/>
      <w:kern w:val="0"/>
    </w:rPr>
  </w:style>
  <w:style w:type="paragraph" w:styleId="10">
    <w:name w:val="annotation text"/>
    <w:basedOn w:val="1"/>
    <w:qFormat/>
    <w:uiPriority w:val="0"/>
    <w:pPr>
      <w:jc w:val="left"/>
    </w:pPr>
  </w:style>
  <w:style w:type="paragraph" w:styleId="11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  <w:kern w:val="13"/>
      <w:sz w:val="24"/>
      <w:szCs w:val="24"/>
    </w:rPr>
  </w:style>
  <w:style w:type="paragraph" w:styleId="12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640"/>
      <w:jc w:val="center"/>
    </w:pPr>
    <w:rPr>
      <w:rFonts w:ascii="Times New Roman" w:hAnsi="Times New Roman" w:eastAsia="宋体"/>
      <w:sz w:val="18"/>
      <w:szCs w:val="18"/>
    </w:rPr>
  </w:style>
  <w:style w:type="paragraph" w:styleId="15">
    <w:name w:val="toc 2"/>
    <w:basedOn w:val="1"/>
    <w:next w:val="1"/>
    <w:qFormat/>
    <w:uiPriority w:val="0"/>
    <w:pPr>
      <w:adjustRightInd w:val="0"/>
      <w:ind w:left="420" w:leftChars="200"/>
      <w:jc w:val="left"/>
      <w:textAlignment w:val="baseline"/>
    </w:pPr>
    <w:rPr>
      <w:sz w:val="24"/>
    </w:rPr>
  </w:style>
  <w:style w:type="paragraph" w:styleId="16">
    <w:name w:val="Body Text 2"/>
    <w:basedOn w:val="1"/>
    <w:link w:val="40"/>
    <w:semiHidden/>
    <w:unhideWhenUsed/>
    <w:qFormat/>
    <w:uiPriority w:val="99"/>
    <w:pPr>
      <w:spacing w:after="120" w:line="480" w:lineRule="auto"/>
    </w:pPr>
  </w:style>
  <w:style w:type="paragraph" w:styleId="1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8">
    <w:name w:val="Body Text First Indent 2"/>
    <w:basedOn w:val="11"/>
    <w:qFormat/>
    <w:uiPriority w:val="0"/>
    <w:pPr>
      <w:ind w:firstLine="420" w:firstLineChars="200"/>
    </w:pPr>
    <w:rPr>
      <w:rFonts w:ascii="Calibri" w:hAnsi="Calibri"/>
      <w:kern w:val="2"/>
      <w:sz w:val="21"/>
      <w:szCs w:val="22"/>
    </w:rPr>
  </w:style>
  <w:style w:type="table" w:styleId="20">
    <w:name w:val="Table Grid"/>
    <w:basedOn w:val="1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标题 2 Char"/>
    <w:basedOn w:val="21"/>
    <w:link w:val="4"/>
    <w:qFormat/>
    <w:uiPriority w:val="0"/>
    <w:rPr>
      <w:rFonts w:ascii="Times New Roman" w:hAnsi="Times New Roman" w:eastAsia="宋体" w:cs="Noto Sans Mono CJK JP Regular"/>
      <w:b/>
      <w:kern w:val="0"/>
      <w:sz w:val="28"/>
      <w:szCs w:val="28"/>
      <w:lang w:eastAsia="en-US"/>
    </w:rPr>
  </w:style>
  <w:style w:type="character" w:customStyle="1" w:styleId="23">
    <w:name w:val="标题 3 Char"/>
    <w:basedOn w:val="21"/>
    <w:link w:val="8"/>
    <w:semiHidden/>
    <w:qFormat/>
    <w:uiPriority w:val="9"/>
    <w:rPr>
      <w:rFonts w:ascii="Noto Sans Mono CJK JP Regular" w:hAnsi="Noto Sans Mono CJK JP Regular" w:eastAsia="Noto Sans Mono CJK JP Regular" w:cs="Noto Sans Mono CJK JP Regular"/>
      <w:b/>
      <w:bCs/>
      <w:kern w:val="0"/>
      <w:sz w:val="32"/>
      <w:szCs w:val="32"/>
      <w:lang w:eastAsia="en-US"/>
    </w:rPr>
  </w:style>
  <w:style w:type="character" w:customStyle="1" w:styleId="24">
    <w:name w:val="正文文本 Char"/>
    <w:basedOn w:val="21"/>
    <w:link w:val="6"/>
    <w:qFormat/>
    <w:uiPriority w:val="1"/>
    <w:rPr>
      <w:rFonts w:ascii="Noto Sans Mono CJK JP Regular" w:hAnsi="Noto Sans Mono CJK JP Regular" w:eastAsia="宋体" w:cs="Noto Sans Mono CJK JP Regular"/>
      <w:kern w:val="0"/>
      <w:sz w:val="24"/>
      <w:szCs w:val="24"/>
      <w:lang w:eastAsia="en-US"/>
    </w:rPr>
  </w:style>
  <w:style w:type="character" w:customStyle="1" w:styleId="25">
    <w:name w:val="页眉 Char"/>
    <w:basedOn w:val="21"/>
    <w:link w:val="14"/>
    <w:qFormat/>
    <w:uiPriority w:val="0"/>
    <w:rPr>
      <w:rFonts w:ascii="Times New Roman" w:hAnsi="Times New Roman" w:eastAsia="宋体" w:cs="Noto Sans Mono CJK JP Regular"/>
      <w:kern w:val="0"/>
      <w:sz w:val="18"/>
      <w:szCs w:val="18"/>
      <w:lang w:eastAsia="en-US"/>
    </w:rPr>
  </w:style>
  <w:style w:type="paragraph" w:customStyle="1" w:styleId="26">
    <w:name w:val="四级条标题"/>
    <w:basedOn w:val="27"/>
    <w:next w:val="31"/>
    <w:qFormat/>
    <w:uiPriority w:val="0"/>
    <w:pPr>
      <w:widowControl/>
      <w:tabs>
        <w:tab w:val="left" w:pos="1260"/>
        <w:tab w:val="left" w:pos="1680"/>
      </w:tabs>
      <w:autoSpaceDE/>
      <w:autoSpaceDN/>
      <w:jc w:val="both"/>
      <w:outlineLvl w:val="5"/>
    </w:pPr>
    <w:rPr>
      <w:rFonts w:ascii="黑体" w:hAnsi="Times New Roman" w:eastAsia="黑体" w:cs="Times New Roman"/>
      <w:sz w:val="21"/>
      <w:szCs w:val="20"/>
      <w:lang w:eastAsia="zh-CN"/>
    </w:rPr>
  </w:style>
  <w:style w:type="paragraph" w:customStyle="1" w:styleId="27">
    <w:name w:val="三级条标题"/>
    <w:basedOn w:val="28"/>
    <w:next w:val="31"/>
    <w:qFormat/>
    <w:uiPriority w:val="0"/>
    <w:pPr>
      <w:numPr>
        <w:ilvl w:val="3"/>
        <w:numId w:val="0"/>
      </w:numPr>
      <w:outlineLvl w:val="4"/>
    </w:pPr>
  </w:style>
  <w:style w:type="paragraph" w:customStyle="1" w:styleId="28">
    <w:name w:val="二级条标题"/>
    <w:basedOn w:val="29"/>
    <w:next w:val="31"/>
    <w:qFormat/>
    <w:uiPriority w:val="0"/>
    <w:pPr>
      <w:numPr>
        <w:ilvl w:val="3"/>
        <w:numId w:val="1"/>
      </w:numPr>
      <w:outlineLvl w:val="3"/>
    </w:pPr>
  </w:style>
  <w:style w:type="paragraph" w:customStyle="1" w:styleId="29">
    <w:name w:val="一级条标题"/>
    <w:basedOn w:val="30"/>
    <w:next w:val="31"/>
    <w:qFormat/>
    <w:uiPriority w:val="0"/>
    <w:pPr>
      <w:numPr>
        <w:ilvl w:val="2"/>
        <w:numId w:val="1"/>
      </w:numPr>
      <w:spacing w:before="0" w:beforeLines="0" w:after="0" w:afterLines="0"/>
      <w:outlineLvl w:val="2"/>
    </w:pPr>
  </w:style>
  <w:style w:type="paragraph" w:customStyle="1" w:styleId="30">
    <w:name w:val="章标题"/>
    <w:next w:val="31"/>
    <w:qFormat/>
    <w:uiPriority w:val="0"/>
    <w:pPr>
      <w:spacing w:before="156" w:beforeLines="50" w:after="156" w:afterLines="50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31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2">
    <w:name w:val="Table Paragraph"/>
    <w:basedOn w:val="1"/>
    <w:qFormat/>
    <w:uiPriority w:val="1"/>
    <w:pPr>
      <w:jc w:val="center"/>
    </w:pPr>
  </w:style>
  <w:style w:type="paragraph" w:customStyle="1" w:styleId="33">
    <w:name w:val="表格"/>
    <w:basedOn w:val="1"/>
    <w:next w:val="1"/>
    <w:qFormat/>
    <w:uiPriority w:val="0"/>
    <w:pPr>
      <w:jc w:val="center"/>
    </w:pPr>
    <w:rPr>
      <w:rFonts w:ascii="Times New Roman" w:hAnsi="Times New Roman"/>
      <w:sz w:val="21"/>
      <w:szCs w:val="21"/>
    </w:rPr>
  </w:style>
  <w:style w:type="character" w:customStyle="1" w:styleId="34">
    <w:name w:val="批注框文本 Char"/>
    <w:basedOn w:val="21"/>
    <w:link w:val="12"/>
    <w:semiHidden/>
    <w:qFormat/>
    <w:uiPriority w:val="99"/>
    <w:rPr>
      <w:rFonts w:ascii="Noto Sans Mono CJK JP Regular" w:hAnsi="Noto Sans Mono CJK JP Regular" w:eastAsia="Noto Sans Mono CJK JP Regular" w:cs="Noto Sans Mono CJK JP Regular"/>
      <w:kern w:val="0"/>
      <w:sz w:val="18"/>
      <w:szCs w:val="18"/>
      <w:lang w:eastAsia="en-US"/>
    </w:rPr>
  </w:style>
  <w:style w:type="character" w:customStyle="1" w:styleId="35">
    <w:name w:val="页脚 Char"/>
    <w:basedOn w:val="21"/>
    <w:link w:val="13"/>
    <w:qFormat/>
    <w:uiPriority w:val="99"/>
    <w:rPr>
      <w:rFonts w:ascii="Noto Sans Mono CJK JP Regular" w:hAnsi="Noto Sans Mono CJK JP Regular" w:eastAsia="Noto Sans Mono CJK JP Regular" w:cs="Noto Sans Mono CJK JP Regular"/>
      <w:kern w:val="0"/>
      <w:sz w:val="18"/>
      <w:szCs w:val="18"/>
      <w:lang w:eastAsia="en-US"/>
    </w:rPr>
  </w:style>
  <w:style w:type="character" w:customStyle="1" w:styleId="36">
    <w:name w:val="正文首行缩进 Char"/>
    <w:basedOn w:val="24"/>
    <w:link w:val="5"/>
    <w:semiHidden/>
    <w:qFormat/>
    <w:uiPriority w:val="99"/>
    <w:rPr>
      <w:rFonts w:ascii="Noto Sans Mono CJK JP Regular" w:hAnsi="Noto Sans Mono CJK JP Regular" w:eastAsia="Noto Sans Mono CJK JP Regular" w:cs="Noto Sans Mono CJK JP Regular"/>
      <w:kern w:val="0"/>
      <w:sz w:val="22"/>
      <w:szCs w:val="24"/>
      <w:lang w:eastAsia="en-US"/>
    </w:rPr>
  </w:style>
  <w:style w:type="paragraph" w:customStyle="1" w:styleId="37">
    <w:name w:val="报告书正文 Char Char Char"/>
    <w:basedOn w:val="1"/>
    <w:qFormat/>
    <w:uiPriority w:val="0"/>
    <w:pPr>
      <w:autoSpaceDE/>
      <w:autoSpaceDN/>
      <w:adjustRightInd w:val="0"/>
      <w:spacing w:line="300" w:lineRule="auto"/>
      <w:ind w:firstLine="480" w:firstLineChars="200"/>
      <w:jc w:val="both"/>
      <w:textAlignment w:val="baseline"/>
    </w:pPr>
    <w:rPr>
      <w:rFonts w:ascii="宋体" w:hAnsi="宋体" w:eastAsia="宋体" w:cs="Times New Roman"/>
      <w:sz w:val="24"/>
      <w:szCs w:val="20"/>
      <w:lang w:eastAsia="zh-CN"/>
    </w:rPr>
  </w:style>
  <w:style w:type="character" w:customStyle="1" w:styleId="38">
    <w:name w:val="font31"/>
    <w:basedOn w:val="21"/>
    <w:qFormat/>
    <w:uiPriority w:val="0"/>
    <w:rPr>
      <w:rFonts w:ascii="Times New Roman" w:hAnsi="Times New Roman" w:cs="Times New Roman"/>
      <w:color w:val="000000"/>
      <w:sz w:val="20"/>
      <w:szCs w:val="20"/>
      <w:u w:val="none"/>
      <w:lang w:bidi="ar-SA"/>
    </w:rPr>
  </w:style>
  <w:style w:type="paragraph" w:customStyle="1" w:styleId="39">
    <w:name w:val="1"/>
    <w:basedOn w:val="1"/>
    <w:next w:val="16"/>
    <w:qFormat/>
    <w:uiPriority w:val="0"/>
    <w:pPr>
      <w:tabs>
        <w:tab w:val="left" w:pos="10980"/>
      </w:tabs>
      <w:autoSpaceDE/>
      <w:autoSpaceDN/>
      <w:jc w:val="both"/>
    </w:pPr>
    <w:rPr>
      <w:rFonts w:ascii="宋体" w:hAnsi="Times New Roman" w:eastAsia="宋体" w:cs="宋体"/>
      <w:kern w:val="2"/>
      <w:sz w:val="24"/>
      <w:szCs w:val="24"/>
      <w:lang w:eastAsia="zh-CN"/>
    </w:rPr>
  </w:style>
  <w:style w:type="character" w:customStyle="1" w:styleId="40">
    <w:name w:val="正文文本 2 Char"/>
    <w:basedOn w:val="21"/>
    <w:link w:val="16"/>
    <w:semiHidden/>
    <w:qFormat/>
    <w:uiPriority w:val="99"/>
    <w:rPr>
      <w:rFonts w:ascii="Noto Sans Mono CJK JP Regular" w:hAnsi="Noto Sans Mono CJK JP Regular" w:eastAsia="Noto Sans Mono CJK JP Regular" w:cs="Noto Sans Mono CJK JP Regular"/>
      <w:kern w:val="0"/>
      <w:sz w:val="22"/>
      <w:lang w:eastAsia="en-US"/>
    </w:rPr>
  </w:style>
  <w:style w:type="paragraph" w:customStyle="1" w:styleId="41">
    <w:name w:val="样式3"/>
    <w:basedOn w:val="1"/>
    <w:qFormat/>
    <w:uiPriority w:val="0"/>
    <w:pPr>
      <w:autoSpaceDE/>
      <w:autoSpaceDN/>
      <w:jc w:val="center"/>
    </w:pPr>
    <w:rPr>
      <w:rFonts w:ascii="Times New Roman" w:hAnsi="Times New Roman" w:eastAsia="黑体" w:cs="Times New Roman"/>
      <w:kern w:val="2"/>
      <w:sz w:val="44"/>
      <w:szCs w:val="24"/>
      <w:lang w:eastAsia="zh-CN"/>
    </w:rPr>
  </w:style>
  <w:style w:type="paragraph" w:customStyle="1" w:styleId="42">
    <w:name w:val="普通(网站)1"/>
    <w:basedOn w:val="1"/>
    <w:qFormat/>
    <w:uiPriority w:val="0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  <w:style w:type="paragraph" w:customStyle="1" w:styleId="43">
    <w:name w:val="列出段落1"/>
    <w:basedOn w:val="1"/>
    <w:qFormat/>
    <w:uiPriority w:val="0"/>
    <w:pPr>
      <w:autoSpaceDE/>
      <w:autoSpaceDN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1"/>
      <w:lang w:eastAsia="zh-CN"/>
    </w:rPr>
  </w:style>
  <w:style w:type="table" w:customStyle="1" w:styleId="44">
    <w:name w:val="网格型1"/>
    <w:basedOn w:val="19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5">
    <w:name w:val="真宗兴正文"/>
    <w:basedOn w:val="1"/>
    <w:qFormat/>
    <w:uiPriority w:val="0"/>
    <w:pPr>
      <w:widowControl w:val="0"/>
      <w:overflowPunct w:val="0"/>
      <w:autoSpaceDE w:val="0"/>
      <w:autoSpaceDN w:val="0"/>
      <w:spacing w:beforeLines="30" w:beforeAutospacing="0" w:afterLines="30" w:line="360" w:lineRule="auto"/>
      <w:ind w:firstLine="480" w:firstLineChars="200"/>
      <w:jc w:val="both"/>
      <w:textAlignment w:val="baseline"/>
    </w:pPr>
    <w:rPr>
      <w:rFonts w:ascii="Times New Roman" w:hAnsi="Times New Roman" w:eastAsia="宋体"/>
      <w:kern w:val="2"/>
      <w:sz w:val="24"/>
      <w:szCs w:val="20"/>
    </w:rPr>
  </w:style>
  <w:style w:type="paragraph" w:customStyle="1" w:styleId="46">
    <w:name w:val="zw"/>
    <w:basedOn w:val="1"/>
    <w:qFormat/>
    <w:uiPriority w:val="0"/>
    <w:pPr>
      <w:spacing w:line="600" w:lineRule="atLeast"/>
      <w:ind w:firstLine="524" w:firstLineChars="187"/>
      <w:jc w:val="both"/>
    </w:pPr>
    <w:rPr>
      <w:rFonts w:eastAsia="宋体" w:cs="Times New Roman"/>
      <w:sz w:val="28"/>
      <w:szCs w:val="28"/>
    </w:rPr>
  </w:style>
  <w:style w:type="paragraph" w:customStyle="1" w:styleId="47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样式 小四 行距: 固定值 23 磅"/>
    <w:basedOn w:val="1"/>
    <w:qFormat/>
    <w:uiPriority w:val="99"/>
    <w:pPr>
      <w:spacing w:line="460" w:lineRule="exact"/>
      <w:ind w:firstLine="480" w:firstLineChars="200"/>
    </w:pPr>
    <w:rPr>
      <w:kern w:val="0"/>
      <w:sz w:val="20"/>
      <w:szCs w:val="20"/>
    </w:rPr>
  </w:style>
  <w:style w:type="paragraph" w:styleId="4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24</Pages>
  <Words>10493</Words>
  <Characters>13148</Characters>
  <Lines>199</Lines>
  <Paragraphs>56</Paragraphs>
  <TotalTime>1</TotalTime>
  <ScaleCrop>false</ScaleCrop>
  <LinksUpToDate>false</LinksUpToDate>
  <CharactersWithSpaces>13408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2020-01-10T09:43:00Z</dcterms:created>
  <dc:creator>li</dc:creator>
  <cp:lastModifiedBy>26</cp:lastModifiedBy>
  <cp:lastPrinted>2020-12-12T08:16:00Z</cp:lastPrinted>
  <dcterms:modified xsi:type="dcterms:W3CDTF">2021-07-21T03:10:17Z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A615F71EACF249979EB82A74E953590B</vt:lpwstr>
  </property>
</Properties>
</file>