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仿宋_GB2312" w:cs="Times New Roman"/>
          <w:color w:val="000000"/>
          <w:sz w:val="28"/>
          <w:lang w:eastAsia="zh-CN"/>
        </w:rPr>
      </w:pPr>
    </w:p>
    <w:p>
      <w:pPr>
        <w:spacing w:line="360" w:lineRule="auto"/>
        <w:jc w:val="both"/>
        <w:rPr>
          <w:rFonts w:ascii="Times New Roman" w:hAnsi="Times New Roman" w:eastAsia="华文新魏" w:cs="Times New Roman"/>
          <w:b/>
          <w:bCs/>
          <w:color w:val="000000"/>
          <w:spacing w:val="-23"/>
          <w:sz w:val="48"/>
          <w:szCs w:val="48"/>
          <w:lang w:eastAsia="zh-CN"/>
        </w:rPr>
      </w:pPr>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ascii="Times New Roman" w:hAnsi="Times New Roman" w:eastAsia="华文新魏" w:cs="Times New Roman"/>
          <w:b/>
          <w:color w:val="000000"/>
          <w:sz w:val="48"/>
          <w:szCs w:val="48"/>
          <w:lang w:eastAsia="zh-CN"/>
        </w:rPr>
      </w:pPr>
      <w:r>
        <w:rPr>
          <w:rFonts w:ascii="Times New Roman" w:hAnsi="Times New Roman" w:eastAsia="华文新魏" w:cs="Times New Roman"/>
          <w:b/>
          <w:color w:val="000000"/>
          <w:sz w:val="48"/>
          <w:szCs w:val="48"/>
          <w:lang w:eastAsia="zh-CN"/>
        </w:rPr>
        <w:t>炼油事业部</w:t>
      </w:r>
      <w:r>
        <w:rPr>
          <w:rFonts w:hint="eastAsia" w:ascii="Times New Roman" w:hAnsi="Times New Roman" w:eastAsia="华文新魏" w:cs="Times New Roman"/>
          <w:b/>
          <w:color w:val="000000"/>
          <w:sz w:val="48"/>
          <w:szCs w:val="48"/>
          <w:lang w:eastAsia="zh-CN"/>
        </w:rPr>
        <w:t>污水预处理装置臭气及</w:t>
      </w:r>
      <w:r>
        <w:rPr>
          <w:rFonts w:ascii="Times New Roman" w:hAnsi="Times New Roman" w:eastAsia="华文新魏" w:cs="Times New Roman"/>
          <w:b/>
          <w:color w:val="000000"/>
          <w:sz w:val="48"/>
          <w:szCs w:val="48"/>
          <w:lang w:eastAsia="zh-CN"/>
        </w:rPr>
        <w:t>VOCs治理项目</w:t>
      </w:r>
      <w:r>
        <w:rPr>
          <w:rFonts w:hint="eastAsia" w:ascii="Times New Roman" w:hAnsi="Times New Roman" w:eastAsia="华文新魏" w:cs="Times New Roman"/>
          <w:b/>
          <w:color w:val="000000"/>
          <w:sz w:val="48"/>
          <w:szCs w:val="48"/>
          <w:lang w:eastAsia="zh-CN"/>
        </w:rPr>
        <w:t>、苯乙烯中间罐区及装车站台VOCs治理项目</w:t>
      </w:r>
      <w:r>
        <w:rPr>
          <w:rFonts w:ascii="Times New Roman" w:hAnsi="Times New Roman" w:eastAsia="华文新魏" w:cs="Times New Roman"/>
          <w:b/>
          <w:color w:val="000000"/>
          <w:sz w:val="48"/>
          <w:szCs w:val="48"/>
          <w:lang w:eastAsia="zh-CN"/>
        </w:rPr>
        <w:t>竣工环境保护</w:t>
      </w:r>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Times New Roman" w:hAnsi="Times New Roman" w:eastAsia="华文新魏" w:cs="Times New Roman"/>
          <w:b/>
          <w:color w:val="000000"/>
          <w:sz w:val="48"/>
          <w:szCs w:val="48"/>
          <w:lang w:val="en-US" w:eastAsia="zh-CN"/>
        </w:rPr>
      </w:pPr>
      <w:r>
        <w:rPr>
          <w:rFonts w:ascii="Times New Roman" w:hAnsi="Times New Roman" w:eastAsia="华文新魏" w:cs="Times New Roman"/>
          <w:b/>
          <w:color w:val="000000"/>
          <w:sz w:val="48"/>
          <w:szCs w:val="48"/>
          <w:lang w:eastAsia="zh-CN"/>
        </w:rPr>
        <w:t>验收监测</w:t>
      </w:r>
      <w:r>
        <w:rPr>
          <w:rFonts w:hint="eastAsia" w:ascii="Times New Roman" w:hAnsi="Times New Roman" w:eastAsia="华文新魏" w:cs="Times New Roman"/>
          <w:b/>
          <w:color w:val="000000"/>
          <w:sz w:val="48"/>
          <w:szCs w:val="48"/>
          <w:lang w:eastAsia="zh-CN"/>
        </w:rPr>
        <w:t>报告表</w:t>
      </w:r>
    </w:p>
    <w:p>
      <w:pPr>
        <w:widowControl/>
        <w:autoSpaceDE/>
        <w:autoSpaceDN/>
        <w:adjustRightInd w:val="0"/>
        <w:snapToGrid w:val="0"/>
        <w:spacing w:after="200" w:line="360" w:lineRule="auto"/>
        <w:jc w:val="both"/>
        <w:rPr>
          <w:rFonts w:ascii="Times New Roman" w:hAnsi="Times New Roman" w:cs="Times New Roman"/>
          <w:lang w:eastAsia="zh-CN"/>
        </w:rPr>
      </w:pPr>
      <w:r>
        <w:rPr>
          <w:rFonts w:ascii="Times New Roman" w:hAnsi="Times New Roman" w:eastAsia="华文新魏" w:cs="Times New Roman"/>
          <w:b/>
          <w:color w:val="000000"/>
          <w:sz w:val="48"/>
          <w:szCs w:val="48"/>
          <w:lang w:eastAsia="zh-CN"/>
        </w:rPr>
        <w:drawing>
          <wp:inline distT="0" distB="0" distL="114300" distR="114300">
            <wp:extent cx="5232400" cy="3369945"/>
            <wp:effectExtent l="0" t="0" r="6350" b="1905"/>
            <wp:docPr id="1" name="图片 1" descr="6163628d837ec252ef81fae6a5c0e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163628d837ec252ef81fae6a5c0eec"/>
                    <pic:cNvPicPr>
                      <a:picLocks noChangeAspect="1"/>
                    </pic:cNvPicPr>
                  </pic:nvPicPr>
                  <pic:blipFill>
                    <a:blip r:embed="rId10"/>
                    <a:stretch>
                      <a:fillRect/>
                    </a:stretch>
                  </pic:blipFill>
                  <pic:spPr>
                    <a:xfrm>
                      <a:off x="0" y="0"/>
                      <a:ext cx="5232400" cy="3369945"/>
                    </a:xfrm>
                    <a:prstGeom prst="rect">
                      <a:avLst/>
                    </a:prstGeom>
                  </pic:spPr>
                </pic:pic>
              </a:graphicData>
            </a:graphic>
          </wp:inline>
        </w:drawing>
      </w:r>
    </w:p>
    <w:p>
      <w:pPr>
        <w:autoSpaceDE/>
        <w:autoSpaceDN/>
        <w:spacing w:line="360" w:lineRule="auto"/>
        <w:ind w:firstLine="640" w:firstLineChars="200"/>
        <w:jc w:val="both"/>
        <w:rPr>
          <w:rFonts w:hint="eastAsia" w:ascii="Times New Roman" w:hAnsi="Times New Roman" w:eastAsia="华文新魏" w:cs="Times New Roman"/>
          <w:color w:val="000000"/>
          <w:kern w:val="0"/>
          <w:sz w:val="32"/>
          <w:szCs w:val="32"/>
          <w:lang w:val="en-US" w:eastAsia="zh-CN" w:bidi="ar-SA"/>
        </w:rPr>
      </w:pPr>
      <w:r>
        <w:rPr>
          <w:rFonts w:ascii="Times New Roman" w:hAnsi="Times New Roman" w:eastAsia="华文新魏" w:cs="Times New Roman"/>
          <w:color w:val="000000"/>
          <w:sz w:val="32"/>
          <w:szCs w:val="32"/>
          <w:lang w:eastAsia="zh-CN"/>
        </w:rPr>
        <w:t>建设单位：</w:t>
      </w:r>
      <w:r>
        <w:rPr>
          <w:rFonts w:hint="eastAsia" w:ascii="Times New Roman" w:hAnsi="Times New Roman" w:eastAsia="华文新魏" w:cs="Times New Roman"/>
          <w:color w:val="000000"/>
          <w:kern w:val="0"/>
          <w:sz w:val="32"/>
          <w:szCs w:val="32"/>
          <w:lang w:val="en-US" w:eastAsia="zh-CN" w:bidi="ar-SA"/>
        </w:rPr>
        <w:t>中国石化集团资产经营管理有限公司</w:t>
      </w:r>
    </w:p>
    <w:p>
      <w:pPr>
        <w:autoSpaceDE/>
        <w:autoSpaceDN/>
        <w:spacing w:line="360" w:lineRule="auto"/>
        <w:jc w:val="center"/>
        <w:rPr>
          <w:rFonts w:hint="eastAsia" w:ascii="Times New Roman" w:hAnsi="Times New Roman" w:eastAsia="华文新魏" w:cs="Times New Roman"/>
          <w:color w:val="000000"/>
          <w:kern w:val="0"/>
          <w:sz w:val="32"/>
          <w:szCs w:val="32"/>
          <w:lang w:val="en-US" w:eastAsia="zh-CN" w:bidi="ar-SA"/>
        </w:rPr>
      </w:pPr>
      <w:r>
        <w:rPr>
          <w:rFonts w:hint="eastAsia" w:ascii="Times New Roman" w:hAnsi="Times New Roman" w:eastAsia="华文新魏" w:cs="Times New Roman"/>
          <w:color w:val="000000"/>
          <w:kern w:val="0"/>
          <w:sz w:val="32"/>
          <w:szCs w:val="32"/>
          <w:lang w:val="en-US" w:eastAsia="zh-CN" w:bidi="ar-SA"/>
        </w:rPr>
        <w:t xml:space="preserve">  巴陵石化分公司</w:t>
      </w:r>
    </w:p>
    <w:p>
      <w:pPr>
        <w:pStyle w:val="2"/>
        <w:ind w:firstLine="640" w:firstLineChars="200"/>
        <w:rPr>
          <w:sz w:val="32"/>
          <w:szCs w:val="32"/>
          <w:lang w:eastAsia="zh-CN"/>
        </w:rPr>
      </w:pPr>
      <w:r>
        <w:rPr>
          <w:rFonts w:hint="eastAsia" w:ascii="Times New Roman" w:hAnsi="Times New Roman" w:eastAsia="华文新魏" w:cs="Times New Roman"/>
          <w:color w:val="000000"/>
          <w:sz w:val="32"/>
          <w:szCs w:val="32"/>
          <w:lang w:eastAsia="zh-CN"/>
        </w:rPr>
        <w:t>编制单位：湖南衡润科技有限公司</w:t>
      </w:r>
    </w:p>
    <w:p>
      <w:pPr>
        <w:autoSpaceDE/>
        <w:autoSpaceDN/>
        <w:spacing w:line="360" w:lineRule="auto"/>
        <w:jc w:val="center"/>
        <w:rPr>
          <w:rFonts w:ascii="Times New Roman" w:hAnsi="Times New Roman" w:eastAsia="华文新魏" w:cs="Times New Roman"/>
          <w:color w:val="000000"/>
          <w:sz w:val="32"/>
          <w:szCs w:val="32"/>
          <w:lang w:eastAsia="zh-CN"/>
        </w:rPr>
        <w:sectPr>
          <w:headerReference r:id="rId4" w:type="first"/>
          <w:headerReference r:id="rId3" w:type="default"/>
          <w:pgSz w:w="11906" w:h="16838"/>
          <w:pgMar w:top="1440" w:right="1803" w:bottom="1440" w:left="1803" w:header="850" w:footer="992" w:gutter="0"/>
          <w:pgBorders>
            <w:top w:val="none" w:sz="0" w:space="0"/>
            <w:left w:val="none" w:sz="0" w:space="0"/>
            <w:bottom w:val="none" w:sz="0" w:space="0"/>
            <w:right w:val="none" w:sz="0" w:space="0"/>
          </w:pgBorders>
          <w:cols w:space="720" w:num="1"/>
          <w:docGrid w:type="lines" w:linePitch="312" w:charSpace="0"/>
        </w:sectPr>
      </w:pPr>
      <w:r>
        <w:rPr>
          <w:rFonts w:ascii="Times New Roman" w:hAnsi="Times New Roman" w:eastAsia="华文新魏" w:cs="Times New Roman"/>
          <w:color w:val="000000"/>
          <w:sz w:val="32"/>
          <w:szCs w:val="32"/>
          <w:lang w:eastAsia="zh-CN"/>
        </w:rPr>
        <w:t>二</w:t>
      </w:r>
      <w:r>
        <w:rPr>
          <w:rFonts w:hint="eastAsia" w:ascii="Times New Roman" w:hAnsi="Times New Roman" w:eastAsia="华文新魏" w:cs="Times New Roman"/>
          <w:color w:val="000000"/>
          <w:sz w:val="32"/>
          <w:szCs w:val="32"/>
          <w:lang w:eastAsia="zh-CN"/>
        </w:rPr>
        <w:t>零二零</w:t>
      </w:r>
      <w:r>
        <w:rPr>
          <w:rFonts w:ascii="Times New Roman" w:hAnsi="Times New Roman" w:eastAsia="华文新魏" w:cs="Times New Roman"/>
          <w:color w:val="000000"/>
          <w:sz w:val="32"/>
          <w:szCs w:val="32"/>
          <w:lang w:eastAsia="zh-CN"/>
        </w:rPr>
        <w:t>年</w:t>
      </w:r>
      <w:r>
        <w:rPr>
          <w:rFonts w:hint="eastAsia" w:ascii="Times New Roman" w:hAnsi="Times New Roman" w:eastAsia="华文新魏" w:cs="Times New Roman"/>
          <w:color w:val="000000"/>
          <w:sz w:val="32"/>
          <w:szCs w:val="32"/>
          <w:lang w:eastAsia="zh-CN"/>
        </w:rPr>
        <w:t>十二</w:t>
      </w:r>
      <w:r>
        <w:rPr>
          <w:rFonts w:ascii="Times New Roman" w:hAnsi="Times New Roman" w:eastAsia="华文新魏" w:cs="Times New Roman"/>
          <w:color w:val="000000"/>
          <w:sz w:val="32"/>
          <w:szCs w:val="32"/>
          <w:lang w:eastAsia="zh-CN"/>
        </w:rPr>
        <w:t>月</w:t>
      </w:r>
    </w:p>
    <w:tbl>
      <w:tblPr>
        <w:tblStyle w:val="16"/>
        <w:tblW w:w="8522" w:type="dxa"/>
        <w:jc w:val="center"/>
        <w:tblLayout w:type="fixed"/>
        <w:tblCellMar>
          <w:top w:w="0" w:type="dxa"/>
          <w:left w:w="108" w:type="dxa"/>
          <w:bottom w:w="0" w:type="dxa"/>
          <w:right w:w="108" w:type="dxa"/>
        </w:tblCellMar>
      </w:tblPr>
      <w:tblGrid>
        <w:gridCol w:w="3484"/>
        <w:gridCol w:w="5038"/>
      </w:tblGrid>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建设单位法人代表签字：</w:t>
            </w:r>
          </w:p>
        </w:tc>
        <w:tc>
          <w:tcPr>
            <w:tcW w:w="5038" w:type="dxa"/>
            <w:noWrap w:val="0"/>
            <w:vAlign w:val="center"/>
          </w:tcPr>
          <w:p>
            <w:pPr>
              <w:ind w:firstLine="560"/>
              <w:jc w:val="left"/>
              <w:rPr>
                <w:rFonts w:hint="default" w:ascii="Times New Roman" w:hAnsi="Times New Roman" w:eastAsia="宋体" w:cs="Times New Roman"/>
                <w:color w:val="000000" w:themeColor="text1"/>
                <w:sz w:val="28"/>
                <w:szCs w:val="28"/>
                <w14:textFill>
                  <w14:solidFill>
                    <w14:schemeClr w14:val="tx1"/>
                  </w14:solidFill>
                </w14:textFill>
              </w:rPr>
            </w:pPr>
          </w:p>
        </w:tc>
      </w:tr>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jc w:val="distribute"/>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编制单位法人代表签字：</w:t>
            </w:r>
          </w:p>
        </w:tc>
        <w:tc>
          <w:tcPr>
            <w:tcW w:w="5038" w:type="dxa"/>
            <w:noWrap w:val="0"/>
            <w:vAlign w:val="center"/>
          </w:tcPr>
          <w:p>
            <w:pPr>
              <w:ind w:firstLine="560"/>
              <w:jc w:val="left"/>
              <w:rPr>
                <w:rFonts w:hint="default" w:ascii="Times New Roman" w:hAnsi="Times New Roman" w:eastAsia="宋体" w:cs="Times New Roman"/>
                <w:color w:val="000000" w:themeColor="text1"/>
                <w:sz w:val="28"/>
                <w:szCs w:val="28"/>
                <w14:textFill>
                  <w14:solidFill>
                    <w14:schemeClr w14:val="tx1"/>
                  </w14:solidFill>
                </w14:textFill>
              </w:rPr>
            </w:pPr>
          </w:p>
        </w:tc>
      </w:tr>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jc w:val="distribute"/>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项 目 负 责 人：</w:t>
            </w:r>
          </w:p>
        </w:tc>
        <w:tc>
          <w:tcPr>
            <w:tcW w:w="5038" w:type="dxa"/>
            <w:noWrap w:val="0"/>
            <w:vAlign w:val="center"/>
          </w:tcPr>
          <w:p>
            <w:pPr>
              <w:ind w:firstLine="560"/>
              <w:jc w:val="left"/>
              <w:rPr>
                <w:rFonts w:hint="default" w:ascii="Times New Roman" w:hAnsi="Times New Roman" w:eastAsia="宋体" w:cs="Times New Roman"/>
                <w:color w:val="000000" w:themeColor="text1"/>
                <w:sz w:val="28"/>
                <w:szCs w:val="28"/>
                <w14:textFill>
                  <w14:solidFill>
                    <w14:schemeClr w14:val="tx1"/>
                  </w14:solidFill>
                </w14:textFill>
              </w:rPr>
            </w:pPr>
            <w:r>
              <w:rPr>
                <w:rFonts w:hint="eastAsia" w:ascii="Times New Roman" w:hAnsi="Times New Roman" w:eastAsia="宋体" w:cs="Times New Roman"/>
                <w:color w:val="000000" w:themeColor="text1"/>
                <w:sz w:val="28"/>
                <w:szCs w:val="28"/>
                <w:lang w:eastAsia="zh-CN"/>
                <w14:textFill>
                  <w14:solidFill>
                    <w14:schemeClr w14:val="tx1"/>
                  </w14:solidFill>
                </w14:textFill>
              </w:rPr>
              <w:t>陈道楷</w:t>
            </w:r>
            <w:r>
              <w:rPr>
                <w:rFonts w:hint="default" w:ascii="Times New Roman" w:hAnsi="Times New Roman" w:eastAsia="宋体" w:cs="Times New Roman"/>
                <w:color w:val="000000" w:themeColor="text1"/>
                <w:sz w:val="28"/>
                <w:szCs w:val="28"/>
                <w14:textFill>
                  <w14:solidFill>
                    <w14:schemeClr w14:val="tx1"/>
                  </w14:solidFill>
                </w14:textFill>
              </w:rPr>
              <w:t xml:space="preserve">  </w:t>
            </w:r>
          </w:p>
        </w:tc>
      </w:tr>
      <w:tr>
        <w:tblPrEx>
          <w:tblCellMar>
            <w:top w:w="0" w:type="dxa"/>
            <w:left w:w="108" w:type="dxa"/>
            <w:bottom w:w="0" w:type="dxa"/>
            <w:right w:w="108" w:type="dxa"/>
          </w:tblCellMar>
        </w:tblPrEx>
        <w:trPr>
          <w:trHeight w:val="737" w:hRule="atLeast"/>
          <w:jc w:val="center"/>
        </w:trPr>
        <w:tc>
          <w:tcPr>
            <w:tcW w:w="3484" w:type="dxa"/>
            <w:noWrap w:val="0"/>
            <w:vAlign w:val="center"/>
          </w:tcPr>
          <w:p>
            <w:pPr>
              <w:ind w:firstLine="0" w:firstLineChars="0"/>
              <w:jc w:val="distribute"/>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报 告 编 写 人：</w:t>
            </w:r>
          </w:p>
        </w:tc>
        <w:tc>
          <w:tcPr>
            <w:tcW w:w="5038" w:type="dxa"/>
            <w:noWrap w:val="0"/>
            <w:vAlign w:val="center"/>
          </w:tcPr>
          <w:p>
            <w:pPr>
              <w:ind w:firstLine="560"/>
              <w:jc w:val="left"/>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lang w:val="en-US" w:eastAsia="zh-CN"/>
                <w14:textFill>
                  <w14:solidFill>
                    <w14:schemeClr w14:val="tx1"/>
                  </w14:solidFill>
                </w14:textFill>
              </w:rPr>
              <w:t>郭  婷</w:t>
            </w:r>
          </w:p>
        </w:tc>
      </w:tr>
    </w:tbl>
    <w:p>
      <w:pPr>
        <w:spacing w:line="360" w:lineRule="auto"/>
        <w:rPr>
          <w:rFonts w:ascii="Times New Roman" w:hAnsi="Times New Roman" w:cs="Times New Roman"/>
          <w:b/>
          <w:bCs/>
          <w:sz w:val="28"/>
          <w:shd w:val="pct10" w:color="auto" w:fill="FFFFFF"/>
          <w:lang w:eastAsia="zh-CN"/>
        </w:rPr>
      </w:pPr>
    </w:p>
    <w:p>
      <w:pPr>
        <w:pStyle w:val="2"/>
        <w:rPr>
          <w:rFonts w:ascii="Times New Roman" w:hAnsi="Times New Roman" w:cs="Times New Roman"/>
          <w:b/>
          <w:bCs/>
          <w:sz w:val="28"/>
          <w:shd w:val="pct10" w:color="auto" w:fill="FFFFFF"/>
          <w:lang w:eastAsia="zh-CN"/>
        </w:rPr>
      </w:pPr>
    </w:p>
    <w:tbl>
      <w:tblPr>
        <w:tblStyle w:val="16"/>
        <w:tblpPr w:leftFromText="180" w:rightFromText="180" w:vertAnchor="text" w:horzAnchor="page" w:tblpX="1617" w:tblpY="4702"/>
        <w:tblOverlap w:val="never"/>
        <w:tblW w:w="9088" w:type="dxa"/>
        <w:tblInd w:w="0" w:type="dxa"/>
        <w:tblLayout w:type="fixed"/>
        <w:tblCellMar>
          <w:top w:w="0" w:type="dxa"/>
          <w:left w:w="108" w:type="dxa"/>
          <w:bottom w:w="0" w:type="dxa"/>
          <w:right w:w="108" w:type="dxa"/>
        </w:tblCellMar>
      </w:tblPr>
      <w:tblGrid>
        <w:gridCol w:w="4601"/>
        <w:gridCol w:w="4487"/>
      </w:tblGrid>
      <w:tr>
        <w:tblPrEx>
          <w:tblCellMar>
            <w:top w:w="0" w:type="dxa"/>
            <w:left w:w="108" w:type="dxa"/>
            <w:bottom w:w="0" w:type="dxa"/>
            <w:right w:w="108" w:type="dxa"/>
          </w:tblCellMar>
        </w:tblPrEx>
        <w:trPr>
          <w:trHeight w:val="737" w:hRule="atLeast"/>
        </w:trPr>
        <w:tc>
          <w:tcPr>
            <w:tcW w:w="4601" w:type="dxa"/>
            <w:noWrap w:val="0"/>
            <w:vAlign w:val="center"/>
          </w:tcPr>
          <w:p>
            <w:pPr>
              <w:ind w:firstLine="0" w:firstLineChars="0"/>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建设单位：</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中国石化集团资产经营管理有限公司</w:t>
            </w:r>
          </w:p>
          <w:p>
            <w:pPr>
              <w:ind w:firstLine="1050" w:firstLineChars="500"/>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巴陵石化分公司</w:t>
            </w:r>
            <w:r>
              <w:rPr>
                <w:rFonts w:hint="default" w:ascii="Times New Roman" w:hAnsi="Times New Roman" w:eastAsia="宋体" w:cs="Times New Roman"/>
                <w:color w:val="000000" w:themeColor="text1"/>
                <w:sz w:val="21"/>
                <w:szCs w:val="21"/>
                <w14:textFill>
                  <w14:solidFill>
                    <w14:schemeClr w14:val="tx1"/>
                  </w14:solidFill>
                </w14:textFill>
              </w:rPr>
              <w:t>（盖章）</w:t>
            </w:r>
          </w:p>
        </w:tc>
        <w:tc>
          <w:tcPr>
            <w:tcW w:w="4487" w:type="dxa"/>
            <w:noWrap w:val="0"/>
            <w:vAlign w:val="center"/>
          </w:tcPr>
          <w:p>
            <w:pPr>
              <w:ind w:firstLine="0" w:firstLineChars="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编制单位：</w:t>
            </w:r>
            <w:r>
              <w:rPr>
                <w:rFonts w:hint="eastAsia" w:ascii="Times New Roman" w:hAnsi="Times New Roman" w:eastAsia="宋体" w:cs="Times New Roman"/>
                <w:color w:val="000000" w:themeColor="text1"/>
                <w:sz w:val="21"/>
                <w:szCs w:val="21"/>
                <w:lang w:eastAsia="zh-CN"/>
                <w14:textFill>
                  <w14:solidFill>
                    <w14:schemeClr w14:val="tx1"/>
                  </w14:solidFill>
                </w14:textFill>
              </w:rPr>
              <w:t>湖南</w:t>
            </w:r>
            <w:r>
              <w:rPr>
                <w:rFonts w:hint="default" w:ascii="Times New Roman" w:hAnsi="Times New Roman" w:eastAsia="宋体" w:cs="Times New Roman"/>
                <w:color w:val="000000" w:themeColor="text1"/>
                <w:sz w:val="21"/>
                <w:szCs w:val="21"/>
                <w14:textFill>
                  <w14:solidFill>
                    <w14:schemeClr w14:val="tx1"/>
                  </w14:solidFill>
                </w14:textFill>
              </w:rPr>
              <w:t>衡润</w:t>
            </w:r>
            <w:r>
              <w:rPr>
                <w:rFonts w:hint="eastAsia" w:ascii="Times New Roman" w:hAnsi="Times New Roman" w:eastAsia="宋体" w:cs="Times New Roman"/>
                <w:color w:val="000000" w:themeColor="text1"/>
                <w:sz w:val="21"/>
                <w:szCs w:val="21"/>
                <w:lang w:eastAsia="zh-CN"/>
                <w14:textFill>
                  <w14:solidFill>
                    <w14:schemeClr w14:val="tx1"/>
                  </w14:solidFill>
                </w14:textFill>
              </w:rPr>
              <w:t>科技</w:t>
            </w:r>
            <w:r>
              <w:rPr>
                <w:rFonts w:hint="default" w:ascii="Times New Roman" w:hAnsi="Times New Roman" w:eastAsia="宋体" w:cs="Times New Roman"/>
                <w:color w:val="000000" w:themeColor="text1"/>
                <w:sz w:val="21"/>
                <w:szCs w:val="21"/>
                <w14:textFill>
                  <w14:solidFill>
                    <w14:schemeClr w14:val="tx1"/>
                  </w14:solidFill>
                </w14:textFill>
              </w:rPr>
              <w:t>有限公司（盖章）</w:t>
            </w:r>
          </w:p>
        </w:tc>
      </w:tr>
      <w:tr>
        <w:tblPrEx>
          <w:tblCellMar>
            <w:top w:w="0" w:type="dxa"/>
            <w:left w:w="108" w:type="dxa"/>
            <w:bottom w:w="0" w:type="dxa"/>
            <w:right w:w="108" w:type="dxa"/>
          </w:tblCellMar>
        </w:tblPrEx>
        <w:trPr>
          <w:trHeight w:val="737" w:hRule="atLeast"/>
        </w:trPr>
        <w:tc>
          <w:tcPr>
            <w:tcW w:w="4601" w:type="dxa"/>
            <w:noWrap w:val="0"/>
            <w:vAlign w:val="center"/>
          </w:tcPr>
          <w:p>
            <w:pPr>
              <w:ind w:firstLine="0" w:firstLineChars="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电    话：</w:t>
            </w:r>
          </w:p>
        </w:tc>
        <w:tc>
          <w:tcPr>
            <w:tcW w:w="4487" w:type="dxa"/>
            <w:noWrap w:val="0"/>
            <w:vAlign w:val="center"/>
          </w:tcPr>
          <w:p>
            <w:pPr>
              <w:ind w:firstLine="0" w:firstLineChars="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电    话：0730-2295955</w:t>
            </w:r>
          </w:p>
        </w:tc>
      </w:tr>
      <w:tr>
        <w:tblPrEx>
          <w:tblCellMar>
            <w:top w:w="0" w:type="dxa"/>
            <w:left w:w="108" w:type="dxa"/>
            <w:bottom w:w="0" w:type="dxa"/>
            <w:right w:w="108" w:type="dxa"/>
          </w:tblCellMar>
        </w:tblPrEx>
        <w:trPr>
          <w:trHeight w:val="737" w:hRule="atLeast"/>
        </w:trPr>
        <w:tc>
          <w:tcPr>
            <w:tcW w:w="4601" w:type="dxa"/>
            <w:noWrap w:val="0"/>
            <w:vAlign w:val="center"/>
          </w:tcPr>
          <w:p>
            <w:pPr>
              <w:ind w:firstLine="0" w:firstLineChars="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传    真：</w:t>
            </w:r>
          </w:p>
        </w:tc>
        <w:tc>
          <w:tcPr>
            <w:tcW w:w="4487" w:type="dxa"/>
            <w:noWrap w:val="0"/>
            <w:vAlign w:val="center"/>
          </w:tcPr>
          <w:p>
            <w:pPr>
              <w:ind w:firstLine="0" w:firstLineChars="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传    真：0730-2295955</w:t>
            </w:r>
          </w:p>
        </w:tc>
      </w:tr>
      <w:tr>
        <w:tblPrEx>
          <w:tblCellMar>
            <w:top w:w="0" w:type="dxa"/>
            <w:left w:w="108" w:type="dxa"/>
            <w:bottom w:w="0" w:type="dxa"/>
            <w:right w:w="108" w:type="dxa"/>
          </w:tblCellMar>
        </w:tblPrEx>
        <w:trPr>
          <w:trHeight w:val="737" w:hRule="atLeast"/>
        </w:trPr>
        <w:tc>
          <w:tcPr>
            <w:tcW w:w="4601" w:type="dxa"/>
            <w:noWrap w:val="0"/>
            <w:vAlign w:val="center"/>
          </w:tcPr>
          <w:p>
            <w:pPr>
              <w:ind w:firstLine="0" w:firstLineChars="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邮    编：</w:t>
            </w:r>
            <w:r>
              <w:rPr>
                <w:rFonts w:hint="default" w:ascii="Times New Roman" w:hAnsi="Times New Roman" w:cs="Times New Roman"/>
                <w:sz w:val="21"/>
                <w:szCs w:val="21"/>
              </w:rPr>
              <w:t>414</w:t>
            </w:r>
            <w:r>
              <w:rPr>
                <w:rFonts w:hint="default" w:ascii="Times New Roman" w:hAnsi="Times New Roman" w:cs="Times New Roman"/>
                <w:sz w:val="21"/>
                <w:szCs w:val="21"/>
                <w:lang w:val="en-US" w:eastAsia="zh-CN"/>
              </w:rPr>
              <w:t>0</w:t>
            </w:r>
            <w:r>
              <w:rPr>
                <w:rFonts w:hint="default" w:ascii="Times New Roman" w:hAnsi="Times New Roman" w:cs="Times New Roman"/>
                <w:sz w:val="21"/>
                <w:szCs w:val="21"/>
              </w:rPr>
              <w:t>00</w:t>
            </w:r>
          </w:p>
        </w:tc>
        <w:tc>
          <w:tcPr>
            <w:tcW w:w="4487" w:type="dxa"/>
            <w:noWrap w:val="0"/>
            <w:vAlign w:val="center"/>
          </w:tcPr>
          <w:p>
            <w:pPr>
              <w:ind w:firstLine="0" w:firstLineChars="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邮    编：414000</w:t>
            </w:r>
          </w:p>
        </w:tc>
      </w:tr>
      <w:tr>
        <w:tblPrEx>
          <w:tblCellMar>
            <w:top w:w="0" w:type="dxa"/>
            <w:left w:w="108" w:type="dxa"/>
            <w:bottom w:w="0" w:type="dxa"/>
            <w:right w:w="108" w:type="dxa"/>
          </w:tblCellMar>
        </w:tblPrEx>
        <w:trPr>
          <w:trHeight w:val="737" w:hRule="atLeast"/>
        </w:trPr>
        <w:tc>
          <w:tcPr>
            <w:tcW w:w="4601" w:type="dxa"/>
            <w:noWrap w:val="0"/>
            <w:vAlign w:val="center"/>
          </w:tcPr>
          <w:p>
            <w:pPr>
              <w:ind w:left="1050" w:hanging="1050" w:hangingChars="500"/>
              <w:rPr>
                <w:rFonts w:hint="eastAsia" w:ascii="Times New Roman" w:hAnsi="Times New Roman" w:cs="Times New Roman"/>
                <w:sz w:val="21"/>
                <w:szCs w:val="21"/>
                <w:lang w:eastAsia="zh-CN"/>
              </w:rPr>
            </w:pPr>
            <w:r>
              <w:rPr>
                <w:rFonts w:hint="default" w:ascii="Times New Roman" w:hAnsi="Times New Roman" w:eastAsia="宋体" w:cs="Times New Roman"/>
                <w:color w:val="000000" w:themeColor="text1"/>
                <w:sz w:val="21"/>
                <w:szCs w:val="21"/>
                <w14:textFill>
                  <w14:solidFill>
                    <w14:schemeClr w14:val="tx1"/>
                  </w14:solidFill>
                </w14:textFill>
              </w:rPr>
              <w:t>地    址：</w:t>
            </w:r>
            <w:r>
              <w:rPr>
                <w:rFonts w:hint="eastAsia" w:ascii="Times New Roman" w:hAnsi="Times New Roman" w:eastAsia="宋体" w:cs="Times New Roman"/>
                <w:color w:val="000000" w:themeColor="text1"/>
                <w:sz w:val="21"/>
                <w:szCs w:val="21"/>
                <w:lang w:eastAsia="zh-CN"/>
                <w14:textFill>
                  <w14:solidFill>
                    <w14:schemeClr w14:val="tx1"/>
                  </w14:solidFill>
                </w14:textFill>
              </w:rPr>
              <w:t>岳阳市云溪区</w:t>
            </w:r>
            <w:r>
              <w:rPr>
                <w:rFonts w:hint="default" w:ascii="Times New Roman" w:hAnsi="Times New Roman" w:cs="Times New Roman"/>
                <w:sz w:val="21"/>
                <w:szCs w:val="21"/>
                <w:lang w:eastAsia="zh-CN"/>
              </w:rPr>
              <w:t>巴陵石化</w:t>
            </w:r>
            <w:r>
              <w:rPr>
                <w:rFonts w:hint="eastAsia" w:ascii="Times New Roman" w:hAnsi="Times New Roman" w:cs="Times New Roman"/>
                <w:sz w:val="21"/>
                <w:szCs w:val="21"/>
                <w:lang w:eastAsia="zh-CN"/>
              </w:rPr>
              <w:t>分公司</w:t>
            </w:r>
          </w:p>
          <w:p>
            <w:pPr>
              <w:ind w:firstLine="1050" w:firstLineChars="500"/>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sz w:val="21"/>
                <w:szCs w:val="21"/>
                <w:lang w:eastAsia="zh-CN"/>
              </w:rPr>
              <w:t>炼油事业</w:t>
            </w:r>
            <w:r>
              <w:rPr>
                <w:rFonts w:hint="eastAsia" w:ascii="Times New Roman" w:hAnsi="Times New Roman" w:eastAsia="宋体" w:cs="Times New Roman"/>
                <w:sz w:val="21"/>
                <w:szCs w:val="21"/>
                <w:lang w:eastAsia="zh-CN"/>
              </w:rPr>
              <w:t>部</w:t>
            </w:r>
          </w:p>
        </w:tc>
        <w:tc>
          <w:tcPr>
            <w:tcW w:w="4487" w:type="dxa"/>
            <w:noWrap w:val="0"/>
            <w:vAlign w:val="center"/>
          </w:tcPr>
          <w:p>
            <w:pPr>
              <w:ind w:firstLine="0" w:firstLineChars="0"/>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地    址：岳阳市新港区长湖路</w:t>
            </w:r>
          </w:p>
        </w:tc>
      </w:tr>
    </w:tbl>
    <w:p>
      <w:pPr>
        <w:rPr>
          <w:rFonts w:ascii="Times New Roman" w:hAnsi="Times New Roman" w:cs="Times New Roman"/>
          <w:b/>
          <w:bCs/>
          <w:sz w:val="28"/>
          <w:shd w:val="pct10" w:color="auto" w:fill="FFFFFF"/>
          <w:lang w:eastAsia="zh-CN"/>
        </w:rPr>
      </w:pPr>
    </w:p>
    <w:p>
      <w:pPr>
        <w:pStyle w:val="2"/>
        <w:rPr>
          <w:rFonts w:ascii="Times New Roman" w:hAnsi="Times New Roman" w:cs="Times New Roman"/>
          <w:b/>
          <w:bCs/>
          <w:sz w:val="28"/>
          <w:shd w:val="pct10" w:color="auto" w:fill="FFFFFF"/>
          <w:lang w:eastAsia="zh-CN"/>
        </w:rPr>
      </w:pPr>
    </w:p>
    <w:p>
      <w:pPr>
        <w:rPr>
          <w:lang w:eastAsia="zh-CN"/>
        </w:rPr>
      </w:pPr>
    </w:p>
    <w:p>
      <w:pPr>
        <w:widowControl/>
        <w:autoSpaceDE/>
        <w:autoSpaceDN/>
        <w:rPr>
          <w:rFonts w:ascii="Times New Roman" w:hAnsi="Times New Roman" w:eastAsia="宋体" w:cs="Times New Roman"/>
          <w:b/>
          <w:sz w:val="24"/>
          <w:szCs w:val="24"/>
          <w:lang w:eastAsia="zh-CN"/>
        </w:rPr>
      </w:pPr>
    </w:p>
    <w:p>
      <w:pPr>
        <w:widowControl/>
        <w:autoSpaceDE/>
        <w:autoSpaceDN/>
        <w:rPr>
          <w:rFonts w:ascii="Times New Roman" w:hAnsi="Times New Roman" w:eastAsia="宋体" w:cs="Times New Roman"/>
          <w:b/>
          <w:sz w:val="24"/>
          <w:szCs w:val="24"/>
          <w:lang w:eastAsia="zh-CN"/>
        </w:rPr>
      </w:pPr>
    </w:p>
    <w:p>
      <w:pPr>
        <w:widowControl/>
        <w:autoSpaceDE/>
        <w:autoSpaceDN/>
        <w:rPr>
          <w:rFonts w:ascii="Times New Roman" w:hAnsi="Times New Roman" w:eastAsia="宋体" w:cs="Times New Roman"/>
          <w:b/>
          <w:sz w:val="24"/>
          <w:szCs w:val="24"/>
          <w:lang w:eastAsia="zh-CN"/>
        </w:rPr>
      </w:pPr>
    </w:p>
    <w:p>
      <w:pPr>
        <w:widowControl/>
        <w:autoSpaceDE/>
        <w:autoSpaceDN/>
        <w:rPr>
          <w:rFonts w:ascii="Times New Roman" w:hAnsi="Times New Roman" w:eastAsia="宋体" w:cs="Times New Roman"/>
          <w:b/>
          <w:sz w:val="24"/>
          <w:szCs w:val="24"/>
          <w:lang w:eastAsia="zh-CN"/>
        </w:rPr>
      </w:pPr>
    </w:p>
    <w:p>
      <w:pPr>
        <w:widowControl/>
        <w:autoSpaceDE/>
        <w:autoSpaceDN/>
        <w:rPr>
          <w:rFonts w:ascii="Times New Roman" w:hAnsi="Times New Roman" w:eastAsia="宋体" w:cs="Times New Roman"/>
          <w:b/>
          <w:sz w:val="24"/>
          <w:szCs w:val="24"/>
          <w:lang w:eastAsia="zh-CN"/>
        </w:rPr>
      </w:pPr>
    </w:p>
    <w:p>
      <w:pPr>
        <w:widowControl/>
        <w:autoSpaceDE/>
        <w:autoSpaceDN/>
        <w:rPr>
          <w:rFonts w:ascii="Times New Roman" w:hAnsi="Times New Roman" w:eastAsia="宋体" w:cs="Times New Roman"/>
          <w:b/>
          <w:sz w:val="24"/>
          <w:szCs w:val="24"/>
          <w:lang w:eastAsia="zh-CN"/>
        </w:rPr>
      </w:pPr>
    </w:p>
    <w:p>
      <w:pPr>
        <w:widowControl/>
        <w:autoSpaceDE/>
        <w:autoSpaceDN/>
        <w:rPr>
          <w:rFonts w:ascii="Times New Roman" w:hAnsi="Times New Roman" w:eastAsia="宋体" w:cs="Times New Roman"/>
          <w:b/>
          <w:sz w:val="24"/>
          <w:szCs w:val="24"/>
          <w:lang w:eastAsia="zh-CN"/>
        </w:rPr>
      </w:pPr>
    </w:p>
    <w:p>
      <w:pPr>
        <w:widowControl/>
        <w:autoSpaceDE/>
        <w:autoSpaceDN/>
        <w:rPr>
          <w:rFonts w:ascii="Times New Roman" w:hAnsi="Times New Roman" w:eastAsia="宋体" w:cs="Times New Roman"/>
          <w:b/>
          <w:sz w:val="24"/>
          <w:szCs w:val="24"/>
          <w:lang w:eastAsia="zh-CN"/>
        </w:rPr>
      </w:pPr>
    </w:p>
    <w:p>
      <w:pPr>
        <w:widowControl/>
        <w:autoSpaceDE/>
        <w:autoSpaceDN/>
        <w:rPr>
          <w:rFonts w:ascii="Times New Roman" w:hAnsi="Times New Roman" w:eastAsia="宋体" w:cs="Times New Roman"/>
          <w:b/>
          <w:sz w:val="24"/>
          <w:szCs w:val="24"/>
          <w:lang w:eastAsia="zh-CN"/>
        </w:rPr>
      </w:pPr>
    </w:p>
    <w:p>
      <w:pPr>
        <w:widowControl/>
        <w:autoSpaceDE/>
        <w:autoSpaceDN/>
        <w:rPr>
          <w:rFonts w:ascii="Times New Roman" w:hAnsi="Times New Roman" w:eastAsia="宋体" w:cs="Times New Roman"/>
          <w:b/>
          <w:sz w:val="24"/>
          <w:szCs w:val="24"/>
          <w:lang w:eastAsia="zh-CN"/>
        </w:rPr>
      </w:pPr>
    </w:p>
    <w:p>
      <w:pPr>
        <w:widowControl/>
        <w:autoSpaceDE/>
        <w:autoSpaceDN/>
        <w:rPr>
          <w:rFonts w:ascii="Times New Roman" w:hAnsi="Times New Roman" w:eastAsia="宋体" w:cs="Times New Roman"/>
          <w:b/>
          <w:sz w:val="24"/>
          <w:szCs w:val="24"/>
          <w:lang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eastAsia="宋体" w:cs="Times New Roman"/>
          <w:b/>
          <w:sz w:val="24"/>
          <w:szCs w:val="24"/>
          <w:lang w:eastAsia="zh-CN"/>
        </w:rPr>
        <w:br w:type="page"/>
      </w:r>
    </w:p>
    <w:p>
      <w:pPr>
        <w:spacing w:line="386" w:lineRule="exact"/>
        <w:rPr>
          <w:rFonts w:ascii="Times New Roman" w:hAnsi="Times New Roman" w:eastAsia="宋体" w:cs="Times New Roman"/>
          <w:sz w:val="3"/>
        </w:rPr>
      </w:pPr>
      <w:r>
        <w:rPr>
          <w:rFonts w:ascii="Times New Roman" w:hAnsi="Times New Roman" w:eastAsia="宋体" w:cs="Times New Roman"/>
          <w:b/>
          <w:sz w:val="24"/>
          <w:szCs w:val="24"/>
        </w:rPr>
        <w:t>表一</w:t>
      </w:r>
    </w:p>
    <w:tbl>
      <w:tblPr>
        <w:tblStyle w:val="16"/>
        <w:tblW w:w="510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56"/>
        <w:gridCol w:w="2022"/>
        <w:gridCol w:w="2161"/>
        <w:gridCol w:w="1061"/>
        <w:gridCol w:w="779"/>
        <w:gridCol w:w="9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7" w:type="pct"/>
            <w:vAlign w:val="bottom"/>
          </w:tcPr>
          <w:p>
            <w:pPr>
              <w:pStyle w:val="23"/>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建设项目名称</w:t>
            </w:r>
          </w:p>
        </w:tc>
        <w:tc>
          <w:tcPr>
            <w:tcW w:w="4082" w:type="pct"/>
            <w:gridSpan w:val="5"/>
            <w:vAlign w:val="bottom"/>
          </w:tcPr>
          <w:p>
            <w:pPr>
              <w:pStyle w:val="23"/>
              <w:rPr>
                <w:rFonts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lang w:eastAsia="zh-CN"/>
              </w:rPr>
              <w:t>炼油事业部</w:t>
            </w:r>
            <w:r>
              <w:rPr>
                <w:rFonts w:hint="eastAsia" w:ascii="Times New Roman" w:hAnsi="Times New Roman" w:eastAsia="宋体" w:cs="Times New Roman"/>
                <w:color w:val="auto"/>
                <w:sz w:val="24"/>
                <w:szCs w:val="24"/>
                <w:lang w:eastAsia="zh-CN"/>
              </w:rPr>
              <w:t>污水预处理装置臭气及</w:t>
            </w:r>
            <w:r>
              <w:rPr>
                <w:rFonts w:ascii="Times New Roman" w:hAnsi="Times New Roman" w:eastAsia="宋体" w:cs="Times New Roman"/>
                <w:color w:val="auto"/>
                <w:sz w:val="24"/>
                <w:szCs w:val="24"/>
                <w:lang w:eastAsia="zh-CN"/>
              </w:rPr>
              <w:t>VOCs治理项目</w:t>
            </w:r>
            <w:r>
              <w:rPr>
                <w:rFonts w:hint="eastAsia" w:ascii="Times New Roman" w:hAnsi="Times New Roman" w:eastAsia="宋体" w:cs="Times New Roman"/>
                <w:color w:val="auto"/>
                <w:sz w:val="24"/>
                <w:szCs w:val="24"/>
                <w:lang w:eastAsia="zh-CN"/>
              </w:rPr>
              <w:t>、苯乙烯中间罐区及装车站台VOCs治理项目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7" w:type="pct"/>
            <w:vAlign w:val="bottom"/>
          </w:tcPr>
          <w:p>
            <w:pPr>
              <w:pStyle w:val="23"/>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建设单位名称</w:t>
            </w:r>
          </w:p>
        </w:tc>
        <w:tc>
          <w:tcPr>
            <w:tcW w:w="4082" w:type="pct"/>
            <w:gridSpan w:val="5"/>
            <w:vAlign w:val="bottom"/>
          </w:tcPr>
          <w:p>
            <w:pPr>
              <w:pStyle w:val="23"/>
              <w:jc w:val="left"/>
              <w:rPr>
                <w:rFonts w:ascii="Times New Roman" w:hAnsi="Times New Roman" w:eastAsia="宋体" w:cs="Times New Roman"/>
                <w:color w:val="auto"/>
                <w:sz w:val="24"/>
                <w:szCs w:val="24"/>
                <w:lang w:eastAsia="zh-CN"/>
              </w:rPr>
            </w:pPr>
            <w:r>
              <w:rPr>
                <w:rFonts w:hint="eastAsia" w:ascii="宋体" w:hAnsi="宋体" w:eastAsia="宋体" w:cs="宋体"/>
                <w:bCs/>
                <w:color w:val="auto"/>
                <w:sz w:val="24"/>
                <w:szCs w:val="24"/>
              </w:rPr>
              <w:t>中国石化集团资产经营管理有限公司巴陵石化分公司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7" w:type="pct"/>
            <w:vAlign w:val="bottom"/>
          </w:tcPr>
          <w:p>
            <w:pPr>
              <w:pStyle w:val="23"/>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建设项目性质</w:t>
            </w:r>
          </w:p>
        </w:tc>
        <w:tc>
          <w:tcPr>
            <w:tcW w:w="4082" w:type="pct"/>
            <w:gridSpan w:val="5"/>
            <w:vAlign w:val="bottom"/>
          </w:tcPr>
          <w:p>
            <w:pPr>
              <w:adjustRightInd w:val="0"/>
              <w:snapToGrid w:val="0"/>
              <w:spacing w:line="440" w:lineRule="exact"/>
              <w:ind w:firstLine="480" w:firstLineChars="200"/>
              <w:jc w:val="center"/>
              <w:rPr>
                <w:rFonts w:ascii="Times New Roman" w:hAnsi="Times New Roman" w:eastAsia="宋体" w:cs="Times New Roman"/>
                <w:color w:val="auto"/>
                <w:sz w:val="24"/>
                <w:szCs w:val="24"/>
              </w:rPr>
            </w:pPr>
            <w:r>
              <w:rPr>
                <w:rFonts w:hint="eastAsia" w:ascii="宋体" w:hAnsi="宋体" w:eastAsia="宋体" w:cs="宋体"/>
                <w:snapToGrid w:val="0"/>
                <w:color w:val="auto"/>
                <w:kern w:val="0"/>
                <w:sz w:val="24"/>
                <w:szCs w:val="24"/>
              </w:rPr>
              <w:t>技术改造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7" w:type="pct"/>
            <w:vAlign w:val="center"/>
          </w:tcPr>
          <w:p>
            <w:pPr>
              <w:pStyle w:val="23"/>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建设地点</w:t>
            </w:r>
          </w:p>
        </w:tc>
        <w:tc>
          <w:tcPr>
            <w:tcW w:w="4082" w:type="pct"/>
            <w:gridSpan w:val="5"/>
            <w:vAlign w:val="center"/>
          </w:tcPr>
          <w:p>
            <w:pPr>
              <w:pStyle w:val="23"/>
              <w:jc w:val="left"/>
              <w:rPr>
                <w:rFonts w:ascii="Times New Roman" w:hAnsi="Times New Roman" w:eastAsia="宋体" w:cs="Times New Roman"/>
                <w:color w:val="auto"/>
                <w:sz w:val="24"/>
                <w:szCs w:val="24"/>
                <w:lang w:eastAsia="zh-CN"/>
              </w:rPr>
            </w:pPr>
            <w:r>
              <w:rPr>
                <w:rFonts w:hint="eastAsia" w:ascii="宋体" w:hAnsi="宋体" w:eastAsia="宋体" w:cs="宋体"/>
                <w:bCs/>
                <w:color w:val="auto"/>
                <w:sz w:val="24"/>
                <w:szCs w:val="24"/>
              </w:rPr>
              <w:t>岳阳市云溪区</w:t>
            </w:r>
            <w:r>
              <w:rPr>
                <w:rFonts w:hint="eastAsia" w:ascii="宋体" w:hAnsi="宋体" w:eastAsia="宋体" w:cs="宋体"/>
                <w:bCs/>
                <w:color w:val="auto"/>
                <w:sz w:val="24"/>
                <w:szCs w:val="24"/>
                <w:lang w:eastAsia="zh-CN"/>
              </w:rPr>
              <w:t>希望路</w:t>
            </w:r>
            <w:r>
              <w:rPr>
                <w:rFonts w:hint="eastAsia" w:ascii="宋体" w:hAnsi="宋体" w:eastAsia="宋体" w:cs="宋体"/>
                <w:bCs/>
                <w:color w:val="auto"/>
                <w:sz w:val="24"/>
                <w:szCs w:val="24"/>
              </w:rPr>
              <w:t>巴陵石化分公司炼油事业部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7" w:type="pct"/>
            <w:vAlign w:val="center"/>
          </w:tcPr>
          <w:p>
            <w:pPr>
              <w:pStyle w:val="23"/>
              <w:rPr>
                <w:rFonts w:ascii="Times New Roman" w:hAnsi="Times New Roman" w:eastAsia="宋体" w:cs="Times New Roman"/>
                <w:b/>
                <w:bCs/>
                <w:color w:val="auto"/>
                <w:sz w:val="24"/>
                <w:szCs w:val="24"/>
                <w:highlight w:val="red"/>
                <w:lang w:eastAsia="zh-CN"/>
              </w:rPr>
            </w:pPr>
            <w:r>
              <w:rPr>
                <w:rFonts w:hint="default" w:ascii="Times New Roman" w:hAnsi="Times New Roman" w:eastAsia="宋体" w:cs="Times New Roman"/>
                <w:b/>
                <w:bCs/>
                <w:color w:val="auto"/>
                <w:sz w:val="24"/>
                <w:szCs w:val="24"/>
                <w:lang w:eastAsia="zh-CN"/>
              </w:rPr>
              <w:t>设计</w:t>
            </w:r>
            <w:r>
              <w:rPr>
                <w:rFonts w:hint="eastAsia" w:ascii="Times New Roman" w:hAnsi="Times New Roman" w:eastAsia="宋体" w:cs="Times New Roman"/>
                <w:b/>
                <w:bCs/>
                <w:color w:val="auto"/>
                <w:sz w:val="24"/>
                <w:szCs w:val="24"/>
                <w:lang w:eastAsia="zh-CN"/>
              </w:rPr>
              <w:t>处理</w:t>
            </w:r>
            <w:r>
              <w:rPr>
                <w:rFonts w:hint="default" w:ascii="Times New Roman" w:hAnsi="Times New Roman" w:eastAsia="宋体" w:cs="Times New Roman"/>
                <w:b/>
                <w:bCs/>
                <w:color w:val="auto"/>
                <w:sz w:val="24"/>
                <w:szCs w:val="24"/>
                <w:lang w:eastAsia="zh-CN"/>
              </w:rPr>
              <w:t>能力</w:t>
            </w:r>
          </w:p>
        </w:tc>
        <w:tc>
          <w:tcPr>
            <w:tcW w:w="4082" w:type="pct"/>
            <w:gridSpan w:val="5"/>
            <w:vAlign w:val="center"/>
          </w:tcPr>
          <w:p>
            <w:pPr>
              <w:pStyle w:val="9"/>
              <w:jc w:val="center"/>
              <w:rPr>
                <w:rFonts w:ascii="Times New Roman" w:hAnsi="Times New Roman" w:cs="Times New Roman" w:eastAsiaTheme="minorEastAsia"/>
                <w:color w:val="auto"/>
                <w:sz w:val="24"/>
                <w:szCs w:val="24"/>
                <w:highlight w:val="red"/>
                <w:lang w:eastAsia="zh-CN"/>
              </w:rPr>
            </w:pPr>
            <w:r>
              <w:rPr>
                <w:rFonts w:hint="eastAsia" w:ascii="Times New Roman" w:hAnsi="Times New Roman" w:eastAsia="宋体" w:cs="Times New Roman"/>
                <w:color w:val="auto"/>
                <w:kern w:val="0"/>
                <w:sz w:val="24"/>
                <w:szCs w:val="24"/>
                <w:lang w:val="en-US" w:eastAsia="zh-CN" w:bidi="ar-SA"/>
              </w:rPr>
              <w:t>6000m</w:t>
            </w:r>
            <w:r>
              <w:rPr>
                <w:rFonts w:hint="eastAsia" w:ascii="Times New Roman" w:hAnsi="Times New Roman" w:eastAsia="宋体" w:cs="Times New Roman"/>
                <w:color w:val="auto"/>
                <w:kern w:val="0"/>
                <w:sz w:val="24"/>
                <w:szCs w:val="24"/>
                <w:vertAlign w:val="superscript"/>
                <w:lang w:val="en-US" w:eastAsia="zh-CN" w:bidi="ar-SA"/>
              </w:rPr>
              <w:t>3</w:t>
            </w:r>
            <w:r>
              <w:rPr>
                <w:rFonts w:hint="eastAsia" w:ascii="Times New Roman" w:hAnsi="Times New Roman" w:eastAsia="宋体" w:cs="Times New Roman"/>
                <w:color w:val="auto"/>
                <w:kern w:val="0"/>
                <w:sz w:val="24"/>
                <w:szCs w:val="24"/>
                <w:lang w:val="en-US" w:eastAsia="zh-CN" w:bidi="ar-SA"/>
              </w:rPr>
              <w: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917" w:type="pct"/>
            <w:vAlign w:val="center"/>
          </w:tcPr>
          <w:p>
            <w:pPr>
              <w:pStyle w:val="23"/>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实际</w:t>
            </w:r>
            <w:r>
              <w:rPr>
                <w:rFonts w:hint="eastAsia" w:ascii="Times New Roman" w:hAnsi="Times New Roman" w:eastAsia="宋体" w:cs="Times New Roman"/>
                <w:b/>
                <w:bCs/>
                <w:color w:val="auto"/>
                <w:sz w:val="24"/>
                <w:szCs w:val="24"/>
                <w:lang w:eastAsia="zh-CN"/>
              </w:rPr>
              <w:t>处理</w:t>
            </w:r>
            <w:r>
              <w:rPr>
                <w:rFonts w:hint="default" w:ascii="Times New Roman" w:hAnsi="Times New Roman" w:eastAsia="宋体" w:cs="Times New Roman"/>
                <w:b/>
                <w:bCs/>
                <w:color w:val="auto"/>
                <w:sz w:val="24"/>
                <w:szCs w:val="24"/>
                <w:lang w:eastAsia="zh-CN"/>
              </w:rPr>
              <w:t>能力</w:t>
            </w:r>
          </w:p>
        </w:tc>
        <w:tc>
          <w:tcPr>
            <w:tcW w:w="4082" w:type="pct"/>
            <w:gridSpan w:val="5"/>
            <w:vAlign w:val="center"/>
          </w:tcPr>
          <w:p>
            <w:pPr>
              <w:pStyle w:val="9"/>
              <w:jc w:val="center"/>
              <w:rPr>
                <w:rFonts w:hint="default" w:ascii="宋体" w:hAnsi="宋体" w:eastAsia="宋体" w:cs="宋体"/>
                <w:color w:val="auto"/>
                <w:sz w:val="24"/>
                <w:szCs w:val="24"/>
                <w:lang w:val="en-US" w:eastAsia="zh-CN"/>
              </w:rPr>
            </w:pPr>
            <w:r>
              <w:rPr>
                <w:rFonts w:hint="eastAsia" w:ascii="Times New Roman" w:hAnsi="Times New Roman" w:eastAsia="宋体" w:cs="Times New Roman"/>
                <w:color w:val="auto"/>
                <w:kern w:val="0"/>
                <w:sz w:val="24"/>
                <w:szCs w:val="24"/>
                <w:lang w:val="en-US" w:eastAsia="zh-CN" w:bidi="ar-SA"/>
              </w:rPr>
              <w:t>6000m</w:t>
            </w:r>
            <w:r>
              <w:rPr>
                <w:rFonts w:hint="eastAsia" w:ascii="Times New Roman" w:hAnsi="Times New Roman" w:eastAsia="宋体" w:cs="Times New Roman"/>
                <w:color w:val="auto"/>
                <w:kern w:val="0"/>
                <w:sz w:val="24"/>
                <w:szCs w:val="24"/>
                <w:vertAlign w:val="superscript"/>
                <w:lang w:val="en-US" w:eastAsia="zh-CN" w:bidi="ar-SA"/>
              </w:rPr>
              <w:t>3</w:t>
            </w:r>
            <w:r>
              <w:rPr>
                <w:rFonts w:hint="eastAsia" w:ascii="Times New Roman" w:hAnsi="Times New Roman" w:eastAsia="宋体" w:cs="Times New Roman"/>
                <w:color w:val="auto"/>
                <w:kern w:val="0"/>
                <w:sz w:val="24"/>
                <w:szCs w:val="24"/>
                <w:lang w:val="en-US" w:eastAsia="zh-CN" w:bidi="ar-SA"/>
              </w:rPr>
              <w: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917" w:type="pct"/>
            <w:vAlign w:val="center"/>
          </w:tcPr>
          <w:p>
            <w:pPr>
              <w:pStyle w:val="23"/>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建设项目环评时间</w:t>
            </w:r>
          </w:p>
        </w:tc>
        <w:tc>
          <w:tcPr>
            <w:tcW w:w="1191" w:type="pct"/>
            <w:vAlign w:val="center"/>
          </w:tcPr>
          <w:p>
            <w:pPr>
              <w:pStyle w:val="23"/>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20</w:t>
            </w:r>
            <w:r>
              <w:rPr>
                <w:rFonts w:hint="eastAsia" w:ascii="宋体" w:hAnsi="宋体" w:eastAsia="宋体" w:cs="宋体"/>
                <w:color w:val="auto"/>
                <w:sz w:val="24"/>
                <w:szCs w:val="24"/>
                <w:lang w:val="en-US" w:eastAsia="zh-CN"/>
              </w:rPr>
              <w:t>18</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4</w:t>
            </w:r>
          </w:p>
        </w:tc>
        <w:tc>
          <w:tcPr>
            <w:tcW w:w="1273" w:type="pct"/>
            <w:vAlign w:val="center"/>
          </w:tcPr>
          <w:p>
            <w:pPr>
              <w:pStyle w:val="23"/>
              <w:rPr>
                <w:rFonts w:hint="eastAsia" w:ascii="宋体" w:hAnsi="宋体" w:eastAsia="宋体" w:cs="宋体"/>
                <w:b/>
                <w:bCs/>
                <w:color w:val="auto"/>
                <w:sz w:val="24"/>
                <w:szCs w:val="24"/>
              </w:rPr>
            </w:pPr>
            <w:r>
              <w:rPr>
                <w:rFonts w:hint="eastAsia" w:ascii="宋体" w:hAnsi="宋体" w:eastAsia="宋体" w:cs="宋体"/>
                <w:b/>
                <w:bCs/>
                <w:color w:val="auto"/>
                <w:sz w:val="24"/>
                <w:szCs w:val="24"/>
              </w:rPr>
              <w:t>开工建设时间</w:t>
            </w:r>
          </w:p>
        </w:tc>
        <w:tc>
          <w:tcPr>
            <w:tcW w:w="1618" w:type="pct"/>
            <w:gridSpan w:val="3"/>
            <w:vAlign w:val="center"/>
          </w:tcPr>
          <w:p>
            <w:pPr>
              <w:pStyle w:val="23"/>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201</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7" w:type="pct"/>
            <w:shd w:val="clear" w:color="auto" w:fill="auto"/>
            <w:vAlign w:val="center"/>
          </w:tcPr>
          <w:p>
            <w:pPr>
              <w:pStyle w:val="23"/>
              <w:rPr>
                <w:rFonts w:ascii="Times New Roman" w:hAnsi="Times New Roman" w:eastAsia="宋体"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试运行</w:t>
            </w:r>
            <w:r>
              <w:rPr>
                <w:rFonts w:ascii="Times New Roman" w:hAnsi="Times New Roman" w:eastAsia="宋体" w:cs="Times New Roman"/>
                <w:b/>
                <w:bCs/>
                <w:color w:val="auto"/>
                <w:sz w:val="24"/>
                <w:szCs w:val="24"/>
                <w:lang w:eastAsia="zh-CN"/>
              </w:rPr>
              <w:t>时间</w:t>
            </w:r>
          </w:p>
        </w:tc>
        <w:tc>
          <w:tcPr>
            <w:tcW w:w="1191" w:type="pct"/>
            <w:shd w:val="clear" w:color="auto" w:fill="auto"/>
            <w:vAlign w:val="center"/>
          </w:tcPr>
          <w:p>
            <w:pPr>
              <w:pStyle w:val="23"/>
              <w:rPr>
                <w:rFonts w:hint="eastAsia" w:ascii="宋体" w:hAnsi="宋体" w:eastAsia="宋体" w:cs="宋体"/>
                <w:b/>
                <w:bCs/>
                <w:color w:val="auto"/>
                <w:sz w:val="24"/>
                <w:szCs w:val="24"/>
                <w:lang w:val="en-US" w:eastAsia="zh-CN"/>
              </w:rPr>
            </w:pPr>
            <w:r>
              <w:rPr>
                <w:rFonts w:hint="eastAsia" w:ascii="宋体" w:hAnsi="宋体" w:eastAsia="宋体" w:cs="宋体"/>
                <w:color w:val="auto"/>
                <w:sz w:val="24"/>
                <w:szCs w:val="24"/>
                <w:lang w:val="en-US" w:eastAsia="zh-CN"/>
              </w:rPr>
              <w:t>2020.8.31</w:t>
            </w:r>
          </w:p>
        </w:tc>
        <w:tc>
          <w:tcPr>
            <w:tcW w:w="1273" w:type="pct"/>
            <w:vAlign w:val="center"/>
          </w:tcPr>
          <w:p>
            <w:pPr>
              <w:pStyle w:val="23"/>
              <w:rPr>
                <w:rFonts w:hint="eastAsia" w:ascii="宋体" w:hAnsi="宋体" w:eastAsia="宋体" w:cs="宋体"/>
                <w:b/>
                <w:bCs/>
                <w:color w:val="auto"/>
                <w:sz w:val="24"/>
                <w:szCs w:val="24"/>
              </w:rPr>
            </w:pPr>
            <w:r>
              <w:rPr>
                <w:rFonts w:hint="eastAsia" w:ascii="宋体" w:hAnsi="宋体" w:eastAsia="宋体" w:cs="宋体"/>
                <w:b/>
                <w:bCs/>
                <w:color w:val="auto"/>
                <w:sz w:val="24"/>
                <w:szCs w:val="24"/>
              </w:rPr>
              <w:t>验收现场监测时间</w:t>
            </w:r>
          </w:p>
        </w:tc>
        <w:tc>
          <w:tcPr>
            <w:tcW w:w="1618" w:type="pct"/>
            <w:gridSpan w:val="3"/>
            <w:vAlign w:val="center"/>
          </w:tcPr>
          <w:p>
            <w:pPr>
              <w:pStyle w:val="23"/>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2020</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09.23-24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917" w:type="pct"/>
            <w:vAlign w:val="center"/>
          </w:tcPr>
          <w:p>
            <w:pPr>
              <w:pStyle w:val="23"/>
              <w:ind w:hanging="104"/>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环评报告</w:t>
            </w:r>
          </w:p>
          <w:p>
            <w:pPr>
              <w:pStyle w:val="23"/>
              <w:ind w:hanging="104"/>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审批部门</w:t>
            </w:r>
          </w:p>
        </w:tc>
        <w:tc>
          <w:tcPr>
            <w:tcW w:w="1191" w:type="pct"/>
            <w:vAlign w:val="center"/>
          </w:tcPr>
          <w:p>
            <w:pPr>
              <w:pStyle w:val="23"/>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岳阳市环境保护局云溪区分局</w:t>
            </w:r>
          </w:p>
        </w:tc>
        <w:tc>
          <w:tcPr>
            <w:tcW w:w="1273" w:type="pct"/>
            <w:vAlign w:val="center"/>
          </w:tcPr>
          <w:p>
            <w:pPr>
              <w:pStyle w:val="23"/>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rPr>
              <w:t>环评</w:t>
            </w:r>
            <w:r>
              <w:rPr>
                <w:rFonts w:hint="eastAsia" w:ascii="宋体" w:hAnsi="宋体" w:eastAsia="宋体" w:cs="宋体"/>
                <w:b/>
                <w:bCs/>
                <w:color w:val="auto"/>
                <w:sz w:val="24"/>
                <w:szCs w:val="24"/>
                <w:lang w:eastAsia="zh-CN"/>
              </w:rPr>
              <w:t>报告</w:t>
            </w:r>
          </w:p>
          <w:p>
            <w:pPr>
              <w:pStyle w:val="23"/>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编制单位</w:t>
            </w:r>
          </w:p>
        </w:tc>
        <w:tc>
          <w:tcPr>
            <w:tcW w:w="1618" w:type="pct"/>
            <w:gridSpan w:val="3"/>
            <w:vAlign w:val="center"/>
          </w:tcPr>
          <w:p>
            <w:pPr>
              <w:pStyle w:val="23"/>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湖南葆华环保有限公司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917" w:type="pct"/>
            <w:vAlign w:val="bottom"/>
          </w:tcPr>
          <w:p>
            <w:pPr>
              <w:pStyle w:val="23"/>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环保设施设计单位</w:t>
            </w:r>
          </w:p>
        </w:tc>
        <w:tc>
          <w:tcPr>
            <w:tcW w:w="1191" w:type="pct"/>
            <w:vAlign w:val="center"/>
          </w:tcPr>
          <w:p>
            <w:pPr>
              <w:pStyle w:val="23"/>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中石化上海工程有限公司</w:t>
            </w:r>
          </w:p>
        </w:tc>
        <w:tc>
          <w:tcPr>
            <w:tcW w:w="1273" w:type="pct"/>
            <w:vAlign w:val="center"/>
          </w:tcPr>
          <w:p>
            <w:pPr>
              <w:pStyle w:val="23"/>
              <w:rPr>
                <w:rFonts w:hint="eastAsia" w:ascii="宋体" w:hAnsi="宋体" w:eastAsia="宋体" w:cs="宋体"/>
                <w:b/>
                <w:bCs/>
                <w:color w:val="auto"/>
                <w:sz w:val="24"/>
                <w:szCs w:val="24"/>
              </w:rPr>
            </w:pPr>
            <w:r>
              <w:rPr>
                <w:rFonts w:hint="eastAsia" w:ascii="宋体" w:hAnsi="宋体" w:eastAsia="宋体" w:cs="宋体"/>
                <w:b/>
                <w:bCs/>
                <w:color w:val="auto"/>
                <w:sz w:val="24"/>
                <w:szCs w:val="24"/>
              </w:rPr>
              <w:t>环保设施施工单位</w:t>
            </w:r>
          </w:p>
        </w:tc>
        <w:tc>
          <w:tcPr>
            <w:tcW w:w="1618" w:type="pct"/>
            <w:gridSpan w:val="3"/>
            <w:vAlign w:val="center"/>
          </w:tcPr>
          <w:p>
            <w:pPr>
              <w:pStyle w:val="23"/>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岳阳华阳工程有限公司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917" w:type="pct"/>
            <w:vAlign w:val="center"/>
          </w:tcPr>
          <w:p>
            <w:pPr>
              <w:pStyle w:val="23"/>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投资总概算</w:t>
            </w:r>
          </w:p>
          <w:p>
            <w:pPr>
              <w:pStyle w:val="23"/>
              <w:rPr>
                <w:rFonts w:ascii="Times New Roman" w:hAnsi="Times New Roman" w:eastAsia="宋体" w:cs="Times New Roman"/>
                <w:b/>
                <w:bCs/>
                <w:color w:val="auto"/>
                <w:sz w:val="24"/>
                <w:szCs w:val="24"/>
                <w:lang w:eastAsia="zh-CN"/>
              </w:rPr>
            </w:pPr>
            <w:r>
              <w:rPr>
                <w:rFonts w:ascii="Times New Roman" w:hAnsi="Times New Roman" w:eastAsia="宋体" w:cs="Times New Roman"/>
                <w:b/>
                <w:bCs/>
                <w:color w:val="auto"/>
                <w:sz w:val="24"/>
                <w:szCs w:val="24"/>
                <w:lang w:eastAsia="zh-CN"/>
              </w:rPr>
              <w:t>（万元）</w:t>
            </w:r>
          </w:p>
        </w:tc>
        <w:tc>
          <w:tcPr>
            <w:tcW w:w="1191" w:type="pct"/>
            <w:vAlign w:val="center"/>
          </w:tcPr>
          <w:p>
            <w:pPr>
              <w:pStyle w:val="23"/>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1714.87</w:t>
            </w:r>
          </w:p>
        </w:tc>
        <w:tc>
          <w:tcPr>
            <w:tcW w:w="1273" w:type="pct"/>
            <w:vAlign w:val="center"/>
          </w:tcPr>
          <w:p>
            <w:pPr>
              <w:pStyle w:val="23"/>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环保投资总概算</w:t>
            </w:r>
          </w:p>
          <w:p>
            <w:pPr>
              <w:pStyle w:val="23"/>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（万元）</w:t>
            </w:r>
          </w:p>
        </w:tc>
        <w:tc>
          <w:tcPr>
            <w:tcW w:w="625" w:type="pct"/>
            <w:vAlign w:val="center"/>
          </w:tcPr>
          <w:p>
            <w:pPr>
              <w:pStyle w:val="23"/>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75</w:t>
            </w:r>
          </w:p>
        </w:tc>
        <w:tc>
          <w:tcPr>
            <w:tcW w:w="459" w:type="pct"/>
            <w:vAlign w:val="center"/>
          </w:tcPr>
          <w:p>
            <w:pPr>
              <w:pStyle w:val="23"/>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比例</w:t>
            </w:r>
          </w:p>
        </w:tc>
        <w:tc>
          <w:tcPr>
            <w:tcW w:w="533" w:type="pct"/>
            <w:vAlign w:val="center"/>
          </w:tcPr>
          <w:p>
            <w:pPr>
              <w:pStyle w:val="23"/>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917" w:type="pct"/>
            <w:vAlign w:val="center"/>
          </w:tcPr>
          <w:p>
            <w:pPr>
              <w:pStyle w:val="23"/>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rPr>
              <w:t>实际总概算</w:t>
            </w:r>
          </w:p>
          <w:p>
            <w:pPr>
              <w:pStyle w:val="23"/>
              <w:rPr>
                <w:rFonts w:ascii="Times New Roman" w:hAnsi="Times New Roman" w:eastAsia="宋体" w:cs="Times New Roman"/>
                <w:b/>
                <w:bCs/>
                <w:color w:val="auto"/>
                <w:sz w:val="24"/>
                <w:szCs w:val="24"/>
              </w:rPr>
            </w:pPr>
            <w:r>
              <w:rPr>
                <w:rFonts w:ascii="Times New Roman" w:hAnsi="Times New Roman" w:eastAsia="宋体" w:cs="Times New Roman"/>
                <w:b/>
                <w:bCs/>
                <w:color w:val="auto"/>
                <w:sz w:val="24"/>
                <w:szCs w:val="24"/>
                <w:lang w:eastAsia="zh-CN"/>
              </w:rPr>
              <w:t>（万元）</w:t>
            </w:r>
          </w:p>
        </w:tc>
        <w:tc>
          <w:tcPr>
            <w:tcW w:w="1191" w:type="pct"/>
            <w:vAlign w:val="center"/>
          </w:tcPr>
          <w:p>
            <w:pPr>
              <w:pStyle w:val="23"/>
              <w:rPr>
                <w:rFonts w:hint="eastAsia" w:ascii="宋体" w:hAnsi="宋体" w:eastAsia="宋体" w:cs="宋体"/>
                <w:color w:val="auto"/>
                <w:sz w:val="24"/>
                <w:szCs w:val="24"/>
              </w:rPr>
            </w:pPr>
            <w:r>
              <w:rPr>
                <w:rFonts w:hint="eastAsia" w:ascii="宋体" w:hAnsi="宋体" w:eastAsia="宋体" w:cs="宋体"/>
                <w:color w:val="auto"/>
                <w:sz w:val="24"/>
                <w:szCs w:val="24"/>
                <w:lang w:eastAsia="zh-CN"/>
              </w:rPr>
              <w:t>1714.87</w:t>
            </w:r>
          </w:p>
        </w:tc>
        <w:tc>
          <w:tcPr>
            <w:tcW w:w="1273" w:type="pct"/>
            <w:vAlign w:val="center"/>
          </w:tcPr>
          <w:p>
            <w:pPr>
              <w:pStyle w:val="23"/>
              <w:rPr>
                <w:rFonts w:hint="eastAsia" w:ascii="宋体" w:hAnsi="宋体" w:eastAsia="宋体" w:cs="宋体"/>
                <w:b/>
                <w:bCs/>
                <w:color w:val="auto"/>
                <w:sz w:val="24"/>
                <w:szCs w:val="24"/>
              </w:rPr>
            </w:pPr>
            <w:r>
              <w:rPr>
                <w:rFonts w:hint="eastAsia" w:ascii="宋体" w:hAnsi="宋体" w:eastAsia="宋体" w:cs="宋体"/>
                <w:b/>
                <w:bCs/>
                <w:color w:val="auto"/>
                <w:sz w:val="24"/>
                <w:szCs w:val="24"/>
              </w:rPr>
              <w:t>环保投资</w:t>
            </w:r>
          </w:p>
          <w:p>
            <w:pPr>
              <w:pStyle w:val="23"/>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（万元）</w:t>
            </w:r>
          </w:p>
        </w:tc>
        <w:tc>
          <w:tcPr>
            <w:tcW w:w="625" w:type="pct"/>
            <w:vAlign w:val="center"/>
          </w:tcPr>
          <w:p>
            <w:pPr>
              <w:pStyle w:val="23"/>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75</w:t>
            </w:r>
          </w:p>
        </w:tc>
        <w:tc>
          <w:tcPr>
            <w:tcW w:w="459" w:type="pct"/>
            <w:vAlign w:val="center"/>
          </w:tcPr>
          <w:p>
            <w:pPr>
              <w:pStyle w:val="23"/>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比例</w:t>
            </w:r>
          </w:p>
        </w:tc>
        <w:tc>
          <w:tcPr>
            <w:tcW w:w="533" w:type="pct"/>
            <w:vAlign w:val="center"/>
          </w:tcPr>
          <w:p>
            <w:pPr>
              <w:pStyle w:val="23"/>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jc w:val="center"/>
        </w:trPr>
        <w:tc>
          <w:tcPr>
            <w:tcW w:w="917" w:type="pct"/>
            <w:vAlign w:val="center"/>
          </w:tcPr>
          <w:p>
            <w:pPr>
              <w:pStyle w:val="23"/>
              <w:spacing w:line="360" w:lineRule="auto"/>
              <w:ind w:right="16"/>
              <w:rPr>
                <w:rFonts w:ascii="Times New Roman" w:hAnsi="Times New Roman" w:eastAsia="宋体" w:cs="Times New Roman"/>
                <w:color w:val="auto"/>
                <w:sz w:val="24"/>
                <w:szCs w:val="24"/>
              </w:rPr>
            </w:pPr>
            <w:r>
              <w:rPr>
                <w:rFonts w:ascii="Times New Roman" w:hAnsi="Times New Roman" w:eastAsia="宋体" w:cs="Times New Roman"/>
                <w:b/>
                <w:bCs/>
                <w:color w:val="auto"/>
                <w:sz w:val="24"/>
                <w:szCs w:val="24"/>
              </w:rPr>
              <w:t>验收监测依据</w:t>
            </w:r>
          </w:p>
        </w:tc>
        <w:tc>
          <w:tcPr>
            <w:tcW w:w="4082" w:type="pct"/>
            <w:gridSpan w:val="5"/>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（1）《建设项目环境保护管理条例》，中华人民共和国国务院令第682号，2017年10月1日；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 xml:space="preserve">（2）《建设项目竣工环境保护验收暂行办法》，国环规环评〔2017〕4号令； </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（3）《建设项目竣工环境保护验收技术指南 污染影响类》生态环保部办公厅2018年5月16日印发；</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（4）《中华人民共和国水污染防治法》，2018年1月1日；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（5）《中华人民共和国大气污染防治法》，2018年10月26日；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（6）《中华人民共和国环境噪声污染防治法》，2018年12月29日；</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（7）《中国石化集团资产经营管理有限公司巴陵石化分公司炼油事业部污水预处理装置臭气及VOCs治理项目、苯乙烯中间罐区及装车站台VOCs治理项目环境影响报告表》，湖南葆华环保有限公司，</w:t>
            </w:r>
            <w:r>
              <w:rPr>
                <w:rFonts w:hint="eastAsia" w:ascii="宋体" w:hAnsi="宋体" w:eastAsia="宋体" w:cs="宋体"/>
                <w:color w:val="auto"/>
                <w:sz w:val="24"/>
                <w:szCs w:val="24"/>
                <w:lang w:val="en-US" w:eastAsia="zh-CN"/>
              </w:rPr>
              <w:t>2018</w:t>
            </w:r>
            <w:r>
              <w:rPr>
                <w:rFonts w:hint="eastAsia" w:ascii="宋体" w:hAnsi="宋体" w:eastAsia="宋体" w:cs="宋体"/>
                <w:color w:val="auto"/>
                <w:sz w:val="24"/>
                <w:szCs w:val="24"/>
                <w:lang w:eastAsia="zh-CN"/>
              </w:rPr>
              <w:t>年</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lang w:eastAsia="zh-CN"/>
              </w:rPr>
              <w:t>月；</w:t>
            </w:r>
          </w:p>
          <w:p>
            <w:pPr>
              <w:keepNext w:val="0"/>
              <w:keepLines w:val="0"/>
              <w:pageBreakBefore w:val="0"/>
              <w:widowControl w:val="0"/>
              <w:kinsoku/>
              <w:wordWrap/>
              <w:overflowPunct/>
              <w:topLinePunct w:val="0"/>
              <w:autoSpaceDE w:val="0"/>
              <w:autoSpaceDN w:val="0"/>
              <w:bidi w:val="0"/>
              <w:adjustRightInd/>
              <w:snapToGrid/>
              <w:spacing w:line="360" w:lineRule="auto"/>
              <w:ind w:firstLine="480"/>
              <w:textAlignment w:val="auto"/>
              <w:rPr>
                <w:rFonts w:hint="eastAsia" w:eastAsiaTheme="minorEastAsia"/>
                <w:color w:val="auto"/>
                <w:sz w:val="24"/>
                <w:szCs w:val="24"/>
                <w:lang w:eastAsia="zh-CN"/>
              </w:rPr>
            </w:pPr>
            <w:r>
              <w:rPr>
                <w:rFonts w:hint="eastAsia" w:ascii="宋体" w:hAnsi="宋体" w:eastAsia="宋体" w:cs="宋体"/>
                <w:color w:val="auto"/>
                <w:sz w:val="24"/>
                <w:szCs w:val="24"/>
                <w:lang w:eastAsia="zh-CN"/>
              </w:rPr>
              <w:t>（8）《关于炼油事业部污水预处理装置臭气及VOCs治理项目、苯乙烯中间罐区及装车站台VOCs治理项目环境影响报告表的批复》，岳环云分评〔201</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lang w:eastAsia="zh-CN"/>
              </w:rPr>
              <w:t>号，201</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lang w:eastAsia="zh-CN"/>
              </w:rPr>
              <w:t>年</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lang w:eastAsia="zh-CN"/>
              </w:rPr>
              <w:t>月</w:t>
            </w:r>
            <w:r>
              <w:rPr>
                <w:rFonts w:hint="eastAsia" w:ascii="宋体" w:hAnsi="宋体" w:eastAsia="宋体" w:cs="宋体"/>
                <w:color w:val="auto"/>
                <w:sz w:val="24"/>
                <w:szCs w:val="24"/>
                <w:lang w:val="en-US" w:eastAsia="zh-CN"/>
              </w:rPr>
              <w:t>18</w:t>
            </w:r>
            <w:r>
              <w:rPr>
                <w:rFonts w:hint="eastAsia" w:ascii="宋体" w:hAnsi="宋体" w:eastAsia="宋体" w:cs="宋体"/>
                <w:color w:val="auto"/>
                <w:sz w:val="24"/>
                <w:szCs w:val="24"/>
                <w:lang w:eastAsia="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2" w:hRule="atLeast"/>
          <w:jc w:val="center"/>
        </w:trPr>
        <w:tc>
          <w:tcPr>
            <w:tcW w:w="917" w:type="pct"/>
            <w:vAlign w:val="center"/>
          </w:tcPr>
          <w:p>
            <w:pPr>
              <w:pStyle w:val="23"/>
              <w:rPr>
                <w:rFonts w:ascii="Times New Roman" w:hAnsi="Times New Roman" w:eastAsia="宋体" w:cs="Times New Roman"/>
                <w:b/>
                <w:bCs/>
                <w:color w:val="auto"/>
                <w:sz w:val="24"/>
                <w:szCs w:val="24"/>
                <w:lang w:eastAsia="zh-CN"/>
              </w:rPr>
            </w:pPr>
            <w:r>
              <w:rPr>
                <w:rFonts w:ascii="Times New Roman" w:hAnsi="Times New Roman" w:eastAsia="宋体" w:cs="Times New Roman"/>
                <w:b/>
                <w:bCs/>
                <w:color w:val="auto"/>
                <w:sz w:val="24"/>
                <w:szCs w:val="24"/>
                <w:lang w:eastAsia="zh-CN"/>
              </w:rPr>
              <w:t xml:space="preserve"> 验收监测评价</w:t>
            </w:r>
            <w:r>
              <w:rPr>
                <w:rFonts w:hint="eastAsia" w:ascii="Times New Roman" w:hAnsi="Times New Roman" w:eastAsia="宋体" w:cs="Times New Roman"/>
                <w:b/>
                <w:bCs/>
                <w:color w:val="auto"/>
                <w:sz w:val="24"/>
                <w:szCs w:val="24"/>
                <w:lang w:eastAsia="zh-CN"/>
              </w:rPr>
              <w:t>标准</w:t>
            </w:r>
            <w:r>
              <w:rPr>
                <w:rFonts w:ascii="Times New Roman" w:hAnsi="Times New Roman" w:eastAsia="宋体" w:cs="Times New Roman"/>
                <w:b/>
                <w:bCs/>
                <w:color w:val="auto"/>
                <w:sz w:val="24"/>
                <w:szCs w:val="24"/>
                <w:lang w:eastAsia="zh-CN"/>
              </w:rPr>
              <w:t>、级别、限值</w:t>
            </w:r>
          </w:p>
        </w:tc>
        <w:tc>
          <w:tcPr>
            <w:tcW w:w="4082" w:type="pct"/>
            <w:gridSpan w:val="5"/>
            <w:vAlign w:val="center"/>
          </w:tcPr>
          <w:p>
            <w:pPr>
              <w:autoSpaceDE/>
              <w:autoSpaceDN/>
              <w:spacing w:line="360" w:lineRule="auto"/>
              <w:rPr>
                <w:rFonts w:ascii="Times New Roman" w:hAnsi="Times New Roman" w:cs="Times New Roman"/>
                <w:b/>
                <w:bCs/>
                <w:color w:val="auto"/>
                <w:sz w:val="24"/>
                <w:szCs w:val="24"/>
                <w:lang w:eastAsia="zh-CN"/>
              </w:rPr>
            </w:pPr>
            <w:r>
              <w:rPr>
                <w:rFonts w:hint="eastAsia" w:ascii="Times New Roman" w:hAnsi="Times New Roman" w:cs="Times New Roman" w:eastAsiaTheme="minorEastAsia"/>
                <w:b/>
                <w:bCs/>
                <w:color w:val="auto"/>
                <w:sz w:val="24"/>
                <w:szCs w:val="24"/>
                <w:lang w:eastAsia="zh-CN"/>
              </w:rPr>
              <w:t>一、</w:t>
            </w:r>
            <w:r>
              <w:rPr>
                <w:rFonts w:ascii="Times New Roman" w:hAnsi="Times New Roman" w:cs="Times New Roman"/>
                <w:b/>
                <w:bCs/>
                <w:color w:val="auto"/>
                <w:sz w:val="24"/>
                <w:szCs w:val="24"/>
                <w:lang w:eastAsia="zh-CN"/>
              </w:rPr>
              <w:t>废气排放标准：</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该项目环评批复时间为2018年4月18日，批复要求本项目废气执行《石油化学工业污染物排放标准》(GB31571-2015)中表4大气污染物相关排放限值标准。根据《湖南省生态环境厅关于执行污染物特别排放限值的公告（2018年10月29号）》，自2019年10月31日起，岳阳市石油化工行业废气中污染物控制因子颗粒物、SO</w:t>
            </w:r>
            <w:r>
              <w:rPr>
                <w:rFonts w:hint="eastAsia" w:ascii="宋体" w:hAnsi="宋体" w:eastAsia="宋体" w:cs="宋体"/>
                <w:color w:val="auto"/>
                <w:kern w:val="0"/>
                <w:sz w:val="24"/>
                <w:szCs w:val="24"/>
                <w:vertAlign w:val="subscript"/>
                <w:lang w:val="en-US" w:eastAsia="zh-CN" w:bidi="ar-SA"/>
              </w:rPr>
              <w:t>2</w:t>
            </w:r>
            <w:r>
              <w:rPr>
                <w:rFonts w:hint="eastAsia" w:ascii="宋体" w:hAnsi="宋体" w:eastAsia="宋体" w:cs="宋体"/>
                <w:color w:val="auto"/>
                <w:kern w:val="0"/>
                <w:sz w:val="24"/>
                <w:szCs w:val="24"/>
                <w:lang w:val="en-US" w:eastAsia="zh-CN" w:bidi="ar-SA"/>
              </w:rPr>
              <w:t>、NOx需按要求执行《石油化学工业污染物排放标准》(GB 31571-2015)表5中的特别排放限值。废气标准执行情况详见下表。</w:t>
            </w:r>
          </w:p>
          <w:p>
            <w:pPr>
              <w:spacing w:line="360" w:lineRule="auto"/>
              <w:jc w:val="center"/>
              <w:rPr>
                <w:rFonts w:ascii="Times New Roman" w:hAnsi="Times New Roman" w:eastAsia="宋体" w:cs="Times New Roman"/>
                <w:b/>
                <w:bCs/>
                <w:color w:val="auto"/>
                <w:sz w:val="21"/>
                <w:szCs w:val="21"/>
                <w:lang w:eastAsia="zh-CN"/>
              </w:rPr>
            </w:pPr>
            <w:r>
              <w:rPr>
                <w:rFonts w:ascii="Times New Roman" w:hAnsi="Times New Roman" w:eastAsia="宋体" w:cs="Times New Roman"/>
                <w:b/>
                <w:bCs/>
                <w:color w:val="auto"/>
                <w:sz w:val="21"/>
                <w:szCs w:val="21"/>
                <w:lang w:eastAsia="zh-CN"/>
              </w:rPr>
              <w:t>表1  大气污染物排放标准</w:t>
            </w:r>
          </w:p>
          <w:tbl>
            <w:tblPr>
              <w:tblStyle w:val="16"/>
              <w:tblW w:w="4997" w:type="pct"/>
              <w:tblInd w:w="1"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37"/>
              <w:gridCol w:w="668"/>
              <w:gridCol w:w="1282"/>
              <w:gridCol w:w="1786"/>
              <w:gridCol w:w="995"/>
              <w:gridCol w:w="16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71" w:type="pct"/>
                  <w:gridSpan w:val="2"/>
                  <w:tcBorders>
                    <w:tl2br w:val="nil"/>
                    <w:tr2bl w:val="nil"/>
                  </w:tcBorders>
                  <w:shd w:val="clear" w:color="auto" w:fill="D7D7D7" w:themeFill="background1" w:themeFillShade="D8"/>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宋体" w:hAnsi="宋体" w:eastAsia="宋体" w:cs="宋体"/>
                      <w:b/>
                      <w:bCs w:val="0"/>
                      <w:color w:val="auto"/>
                      <w:kern w:val="2"/>
                      <w:sz w:val="21"/>
                      <w:szCs w:val="21"/>
                    </w:rPr>
                    <w:t>类别</w:t>
                  </w:r>
                </w:p>
              </w:tc>
              <w:tc>
                <w:tcPr>
                  <w:tcW w:w="2218" w:type="pct"/>
                  <w:gridSpan w:val="2"/>
                  <w:tcBorders>
                    <w:tl2br w:val="nil"/>
                    <w:tr2bl w:val="nil"/>
                  </w:tcBorders>
                  <w:shd w:val="clear" w:color="auto" w:fill="D7D7D7" w:themeFill="background1" w:themeFillShade="D8"/>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宋体" w:hAnsi="宋体" w:eastAsia="宋体" w:cs="宋体"/>
                      <w:b/>
                      <w:bCs w:val="0"/>
                      <w:color w:val="auto"/>
                      <w:kern w:val="2"/>
                      <w:sz w:val="21"/>
                      <w:szCs w:val="21"/>
                    </w:rPr>
                    <w:t>标准名称</w:t>
                  </w:r>
                </w:p>
              </w:tc>
              <w:tc>
                <w:tcPr>
                  <w:tcW w:w="719" w:type="pct"/>
                  <w:tcBorders>
                    <w:tl2br w:val="nil"/>
                    <w:tr2bl w:val="nil"/>
                  </w:tcBorders>
                  <w:shd w:val="clear" w:color="auto" w:fill="D7D7D7" w:themeFill="background1" w:themeFillShade="D8"/>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宋体" w:hAnsi="宋体" w:eastAsia="宋体" w:cs="宋体"/>
                      <w:b/>
                      <w:bCs w:val="0"/>
                      <w:color w:val="auto"/>
                      <w:kern w:val="2"/>
                      <w:sz w:val="21"/>
                      <w:szCs w:val="21"/>
                    </w:rPr>
                    <w:t>污染物</w:t>
                  </w:r>
                </w:p>
              </w:tc>
              <w:tc>
                <w:tcPr>
                  <w:tcW w:w="1191" w:type="pct"/>
                  <w:tcBorders>
                    <w:tl2br w:val="nil"/>
                    <w:tr2bl w:val="nil"/>
                  </w:tcBorders>
                  <w:shd w:val="clear" w:color="auto" w:fill="D7D7D7" w:themeFill="background1" w:themeFillShade="D8"/>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宋体" w:hAnsi="宋体" w:eastAsia="宋体" w:cs="宋体"/>
                      <w:b/>
                      <w:bCs w:val="0"/>
                      <w:color w:val="auto"/>
                      <w:kern w:val="2"/>
                      <w:sz w:val="21"/>
                      <w:szCs w:val="21"/>
                    </w:rPr>
                    <w:t>排放标准限值</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lang w:val="en-US" w:eastAsia="zh-CN"/>
                    </w:rPr>
                    <w:t>mg/m</w:t>
                  </w:r>
                  <w:r>
                    <w:rPr>
                      <w:rFonts w:hint="default" w:ascii="Times New Roman" w:hAnsi="Times New Roman" w:eastAsia="宋体" w:cs="Times New Roman"/>
                      <w:b/>
                      <w:bCs/>
                      <w:color w:val="auto"/>
                      <w:sz w:val="21"/>
                      <w:szCs w:val="21"/>
                      <w:vertAlign w:val="superscript"/>
                      <w:lang w:val="en-US" w:eastAsia="zh-CN"/>
                    </w:rPr>
                    <w:t>3</w:t>
                  </w:r>
                  <w:r>
                    <w:rPr>
                      <w:rFonts w:hint="eastAsia" w:ascii="宋体" w:hAnsi="宋体" w:eastAsia="宋体" w:cs="宋体"/>
                      <w:b/>
                      <w:bCs/>
                      <w:color w:val="auto"/>
                      <w:sz w:val="21"/>
                      <w:szCs w:val="21"/>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388" w:type="pct"/>
                  <w:vMerge w:val="restar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right="0"/>
                    <w:jc w:val="center"/>
                    <w:textAlignment w:val="auto"/>
                    <w:rPr>
                      <w:rFonts w:hint="default" w:ascii="Times New Roman" w:hAnsi="Times New Roman" w:eastAsia="宋体" w:cs="Times New Roman"/>
                      <w:color w:val="auto"/>
                      <w:kern w:val="2"/>
                      <w:sz w:val="21"/>
                      <w:szCs w:val="21"/>
                    </w:rPr>
                  </w:pPr>
                </w:p>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right="0"/>
                    <w:jc w:val="center"/>
                    <w:textAlignment w:val="auto"/>
                    <w:rPr>
                      <w:rFonts w:hint="default" w:ascii="Times New Roman" w:hAnsi="Times New Roman" w:eastAsia="宋体" w:cs="Times New Roman"/>
                      <w:color w:val="auto"/>
                      <w:kern w:val="2"/>
                      <w:sz w:val="21"/>
                      <w:szCs w:val="21"/>
                    </w:rPr>
                  </w:pPr>
                </w:p>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r>
                    <w:rPr>
                      <w:rFonts w:hint="eastAsia" w:ascii="Times New Roman" w:hAnsi="Times New Roman" w:eastAsia="宋体" w:cs="Times New Roman"/>
                      <w:color w:val="auto"/>
                      <w:kern w:val="2"/>
                      <w:sz w:val="21"/>
                      <w:szCs w:val="21"/>
                      <w:lang w:eastAsia="zh-CN"/>
                    </w:rPr>
                    <w:t>废气</w:t>
                  </w:r>
                </w:p>
              </w:tc>
              <w:tc>
                <w:tcPr>
                  <w:tcW w:w="482" w:type="pct"/>
                  <w:vMerge w:val="restar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r>
                    <w:rPr>
                      <w:rFonts w:hint="eastAsia" w:ascii="Times New Roman" w:hAnsi="Times New Roman" w:eastAsia="宋体" w:cs="Times New Roman"/>
                      <w:color w:val="auto"/>
                      <w:kern w:val="2"/>
                      <w:sz w:val="21"/>
                      <w:szCs w:val="21"/>
                      <w:lang w:eastAsia="zh-CN"/>
                    </w:rPr>
                    <w:t>有组织废气</w:t>
                  </w:r>
                </w:p>
              </w:tc>
              <w:tc>
                <w:tcPr>
                  <w:tcW w:w="927" w:type="pct"/>
                  <w:vMerge w:val="restar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r>
                    <w:rPr>
                      <w:rFonts w:hint="eastAsia" w:ascii="Times New Roman" w:hAnsi="Times New Roman" w:eastAsia="宋体" w:cs="Times New Roman"/>
                      <w:color w:val="auto"/>
                      <w:kern w:val="2"/>
                      <w:sz w:val="21"/>
                      <w:szCs w:val="21"/>
                      <w:lang w:val="en-US" w:eastAsia="zh-CN"/>
                    </w:rPr>
                    <w:t>VOCs热氧处理系统装置处理后尾气排气筒</w:t>
                  </w:r>
                </w:p>
              </w:tc>
              <w:tc>
                <w:tcPr>
                  <w:tcW w:w="1290" w:type="pct"/>
                  <w:vMerge w:val="restar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r>
                    <w:rPr>
                      <w:rFonts w:hint="eastAsia" w:ascii="宋体" w:hAnsi="宋体" w:eastAsia="宋体" w:cs="宋体"/>
                      <w:color w:val="auto"/>
                      <w:sz w:val="21"/>
                      <w:szCs w:val="21"/>
                    </w:rPr>
                    <w:t>《石油化学工业污染物排放标准》(GB 31571-2015)</w:t>
                  </w:r>
                  <w:r>
                    <w:rPr>
                      <w:rFonts w:hint="eastAsia" w:ascii="宋体" w:hAnsi="宋体" w:eastAsia="宋体" w:cs="宋体"/>
                      <w:color w:val="auto"/>
                      <w:sz w:val="21"/>
                      <w:szCs w:val="21"/>
                      <w:lang w:eastAsia="zh-CN"/>
                    </w:rPr>
                    <w:t>表</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标准限值</w:t>
                  </w:r>
                </w:p>
              </w:tc>
              <w:tc>
                <w:tcPr>
                  <w:tcW w:w="719"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lang w:val="en-US" w:eastAsia="zh-CN"/>
                    </w:rPr>
                    <w:t>苯</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388"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482"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927"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1290"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719"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rPr>
                    <w:t>二甲苯</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388"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482"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927"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1290"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719"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rPr>
                    <w:t>甲苯</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388"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482"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927"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1290"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719"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lang w:val="en-US" w:eastAsia="zh-CN"/>
                    </w:rPr>
                    <w:t>非甲烷总烃</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lang w:val="en-US" w:eastAsia="zh-CN"/>
                    </w:rPr>
                    <w:t>120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388"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482"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927"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1290" w:type="pct"/>
                  <w:vMerge w:val="restar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r>
                    <w:rPr>
                      <w:rFonts w:hint="eastAsia" w:ascii="宋体" w:hAnsi="宋体" w:eastAsia="宋体" w:cs="宋体"/>
                      <w:color w:val="auto"/>
                      <w:sz w:val="21"/>
                      <w:szCs w:val="21"/>
                    </w:rPr>
                    <w:t>《石油化学工业污染物排放标准》(GB 31571-2015)</w:t>
                  </w:r>
                  <w:r>
                    <w:rPr>
                      <w:rFonts w:hint="eastAsia" w:ascii="宋体" w:hAnsi="宋体" w:eastAsia="宋体" w:cs="宋体"/>
                      <w:color w:val="auto"/>
                      <w:sz w:val="21"/>
                      <w:szCs w:val="21"/>
                      <w:lang w:eastAsia="zh-CN"/>
                    </w:rPr>
                    <w:t>表</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特别排放</w:t>
                  </w:r>
                  <w:r>
                    <w:rPr>
                      <w:rFonts w:hint="eastAsia" w:ascii="宋体" w:hAnsi="宋体" w:eastAsia="宋体" w:cs="宋体"/>
                      <w:color w:val="auto"/>
                      <w:sz w:val="21"/>
                      <w:szCs w:val="21"/>
                    </w:rPr>
                    <w:t>限值</w:t>
                  </w:r>
                </w:p>
              </w:tc>
              <w:tc>
                <w:tcPr>
                  <w:tcW w:w="719"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b w:val="0"/>
                      <w:bCs w:val="0"/>
                      <w:color w:val="auto"/>
                      <w:kern w:val="2"/>
                      <w:sz w:val="21"/>
                      <w:szCs w:val="21"/>
                      <w:lang w:val="en-US" w:eastAsia="zh-CN"/>
                    </w:rPr>
                    <w:t>颗粒物</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388"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482"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927"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1290"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719"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b w:val="0"/>
                      <w:bCs w:val="0"/>
                      <w:color w:val="auto"/>
                      <w:kern w:val="2"/>
                      <w:sz w:val="21"/>
                      <w:szCs w:val="21"/>
                      <w:lang w:val="en-US" w:eastAsia="zh-CN"/>
                    </w:rPr>
                    <w:t>SO</w:t>
                  </w:r>
                  <w:r>
                    <w:rPr>
                      <w:rFonts w:hint="eastAsia" w:ascii="宋体" w:hAnsi="宋体" w:eastAsia="宋体" w:cs="宋体"/>
                      <w:b w:val="0"/>
                      <w:bCs w:val="0"/>
                      <w:color w:val="auto"/>
                      <w:kern w:val="2"/>
                      <w:sz w:val="21"/>
                      <w:szCs w:val="21"/>
                      <w:vertAlign w:val="subscript"/>
                      <w:lang w:val="en-US" w:eastAsia="zh-CN"/>
                    </w:rPr>
                    <w:t>2</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388"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482"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927"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1290"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719"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b w:val="0"/>
                      <w:bCs w:val="0"/>
                      <w:color w:val="auto"/>
                      <w:kern w:val="2"/>
                      <w:sz w:val="21"/>
                      <w:szCs w:val="21"/>
                      <w:lang w:val="en-US" w:eastAsia="zh-CN"/>
                    </w:rPr>
                    <w:t>NOx</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88"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482" w:type="pct"/>
                  <w:vMerge w:val="restar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rPr>
                    <w:t>无组织废气</w:t>
                  </w:r>
                </w:p>
              </w:tc>
              <w:tc>
                <w:tcPr>
                  <w:tcW w:w="927" w:type="pct"/>
                  <w:vMerge w:val="restar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r>
                    <w:rPr>
                      <w:rFonts w:hint="eastAsia" w:ascii="宋体" w:hAnsi="宋体" w:eastAsia="宋体" w:cs="宋体"/>
                      <w:color w:val="auto"/>
                      <w:sz w:val="21"/>
                      <w:szCs w:val="21"/>
                      <w:lang w:eastAsia="zh-CN"/>
                    </w:rPr>
                    <w:t>企业边界</w:t>
                  </w:r>
                </w:p>
              </w:tc>
              <w:tc>
                <w:tcPr>
                  <w:tcW w:w="1290" w:type="pct"/>
                  <w:vMerge w:val="restar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r>
                    <w:rPr>
                      <w:rFonts w:hint="eastAsia" w:ascii="宋体" w:hAnsi="宋体" w:eastAsia="宋体" w:cs="宋体"/>
                      <w:color w:val="auto"/>
                      <w:sz w:val="21"/>
                      <w:szCs w:val="21"/>
                    </w:rPr>
                    <w:t>《石油化学工业污染物排放标准》(GB 31571-2015)</w:t>
                  </w:r>
                  <w:r>
                    <w:rPr>
                      <w:rFonts w:hint="eastAsia" w:ascii="宋体" w:hAnsi="宋体" w:eastAsia="宋体" w:cs="宋体"/>
                      <w:color w:val="auto"/>
                      <w:sz w:val="21"/>
                      <w:szCs w:val="21"/>
                      <w:lang w:eastAsia="zh-CN"/>
                    </w:rPr>
                    <w:t>表</w:t>
                  </w:r>
                  <w:r>
                    <w:rPr>
                      <w:rFonts w:hint="eastAsia" w:ascii="宋体" w:hAnsi="宋体" w:eastAsia="宋体" w:cs="宋体"/>
                      <w:color w:val="auto"/>
                      <w:sz w:val="21"/>
                      <w:szCs w:val="21"/>
                      <w:lang w:val="en-US" w:eastAsia="zh-CN"/>
                    </w:rPr>
                    <w:t>7规定的限值</w:t>
                  </w:r>
                </w:p>
              </w:tc>
              <w:tc>
                <w:tcPr>
                  <w:tcW w:w="719"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lang w:val="en-US" w:eastAsia="zh-CN"/>
                    </w:rPr>
                    <w:t>苯</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388"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482"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927"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1290"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719"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rPr>
                    <w:t>二甲苯</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388"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482"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927"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1290"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719"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b w:val="0"/>
                      <w:bCs/>
                      <w:color w:val="auto"/>
                      <w:kern w:val="21"/>
                      <w:sz w:val="21"/>
                      <w:szCs w:val="21"/>
                      <w:u w:val="none"/>
                    </w:rPr>
                    <w:t>甲苯</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388"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482"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eastAsia="zh-CN"/>
                    </w:rPr>
                  </w:pPr>
                </w:p>
              </w:tc>
              <w:tc>
                <w:tcPr>
                  <w:tcW w:w="927"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1290" w:type="pct"/>
                  <w:vMerge w:val="continue"/>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eastAsia" w:ascii="Times New Roman" w:hAnsi="Times New Roman" w:cs="Times New Roman"/>
                      <w:color w:val="auto"/>
                      <w:sz w:val="21"/>
                      <w:szCs w:val="21"/>
                      <w:lang w:eastAsia="zh-CN"/>
                    </w:rPr>
                  </w:pPr>
                </w:p>
              </w:tc>
              <w:tc>
                <w:tcPr>
                  <w:tcW w:w="719"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afterAutospacing="0"/>
                    <w:ind w:right="0" w:rightChars="0"/>
                    <w:jc w:val="center"/>
                    <w:textAlignment w:val="auto"/>
                    <w:rPr>
                      <w:rFonts w:hint="eastAsia" w:ascii="Times New Roman" w:hAnsi="Times New Roman" w:cs="Times New Roman"/>
                      <w:color w:val="auto"/>
                      <w:sz w:val="21"/>
                      <w:szCs w:val="21"/>
                      <w:lang w:val="en-US" w:eastAsia="zh-CN"/>
                    </w:rPr>
                  </w:pPr>
                  <w:r>
                    <w:rPr>
                      <w:rFonts w:hint="eastAsia" w:ascii="宋体" w:hAnsi="宋体" w:eastAsia="宋体" w:cs="宋体"/>
                      <w:color w:val="auto"/>
                      <w:sz w:val="21"/>
                      <w:szCs w:val="21"/>
                      <w:lang w:val="en-US" w:eastAsia="zh-CN"/>
                    </w:rPr>
                    <w:t>非甲烷总烃</w:t>
                  </w:r>
                </w:p>
              </w:tc>
              <w:tc>
                <w:tcPr>
                  <w:tcW w:w="1191" w:type="pct"/>
                  <w:tcBorders>
                    <w:tl2br w:val="nil"/>
                    <w:tr2bl w:val="nil"/>
                  </w:tcBorders>
                  <w:vAlign w:val="center"/>
                </w:tcPr>
                <w:p>
                  <w:pPr>
                    <w:pStyle w:val="37"/>
                    <w:keepNext w:val="0"/>
                    <w:keepLines w:val="0"/>
                    <w:pageBreakBefore w:val="0"/>
                    <w:widowControl/>
                    <w:suppressLineNumbers w:val="0"/>
                    <w:kinsoku/>
                    <w:wordWrap/>
                    <w:overflowPunct/>
                    <w:topLinePunct w:val="0"/>
                    <w:autoSpaceDE w:val="0"/>
                    <w:autoSpaceDN w:val="0"/>
                    <w:bidi w:val="0"/>
                    <w:adjustRightInd/>
                    <w:snapToGrid/>
                    <w:spacing w:afterAutospacing="0" w:line="240" w:lineRule="auto"/>
                    <w:ind w:left="0" w:leftChars="0" w:right="0" w:righ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4.0</w:t>
                  </w:r>
                </w:p>
              </w:tc>
            </w:tr>
          </w:tbl>
          <w:p>
            <w:pPr>
              <w:autoSpaceDE/>
              <w:autoSpaceDN/>
              <w:spacing w:line="360" w:lineRule="auto"/>
              <w:rPr>
                <w:rFonts w:ascii="Times New Roman" w:hAnsi="Times New Roman" w:cs="Times New Roman"/>
                <w:b/>
                <w:bCs/>
                <w:color w:val="auto"/>
                <w:sz w:val="24"/>
                <w:szCs w:val="24"/>
                <w:lang w:eastAsia="zh-CN"/>
              </w:rPr>
            </w:pPr>
            <w:r>
              <w:rPr>
                <w:rFonts w:ascii="Times New Roman" w:hAnsi="Times New Roman" w:cs="Times New Roman"/>
                <w:b/>
                <w:bCs/>
                <w:color w:val="auto"/>
                <w:sz w:val="24"/>
                <w:szCs w:val="24"/>
                <w:lang w:eastAsia="zh-CN"/>
              </w:rPr>
              <w:t>二、废水排放标准：</w:t>
            </w:r>
          </w:p>
          <w:p>
            <w:pPr>
              <w:spacing w:line="360" w:lineRule="auto"/>
              <w:ind w:firstLine="440" w:firstLineChars="200"/>
              <w:rPr>
                <w:rFonts w:hint="eastAsia" w:ascii="宋体" w:hAnsi="宋体" w:eastAsia="宋体" w:cs="宋体"/>
                <w:color w:val="auto"/>
                <w:sz w:val="24"/>
                <w:szCs w:val="24"/>
                <w:lang w:val="en-US" w:eastAsia="zh-CN"/>
              </w:rPr>
            </w:pPr>
            <w:r>
              <w:rPr>
                <w:rFonts w:hint="eastAsia" w:eastAsia="宋体"/>
                <w:lang w:val="en-US" w:eastAsia="zh-CN"/>
              </w:rPr>
              <w:t>本项目仅有间断性排放的</w:t>
            </w:r>
            <w:r>
              <w:rPr>
                <w:rFonts w:hint="eastAsia" w:ascii="宋体" w:hAnsi="宋体" w:eastAsia="宋体" w:cs="宋体"/>
                <w:color w:val="auto"/>
                <w:sz w:val="24"/>
                <w:szCs w:val="24"/>
                <w:lang w:eastAsia="zh-CN"/>
              </w:rPr>
              <w:t>烟气预热冲洗废水</w:t>
            </w:r>
            <w:r>
              <w:rPr>
                <w:rFonts w:hint="eastAsia" w:ascii="宋体" w:hAnsi="宋体" w:eastAsia="宋体" w:cs="宋体"/>
                <w:color w:val="auto"/>
                <w:sz w:val="24"/>
                <w:szCs w:val="24"/>
                <w:lang w:val="en-US" w:eastAsia="zh-CN"/>
              </w:rPr>
              <w:t>和少量连续排放的脱硫含盐废水，以上2部分废水均不直接排放，而是回用至炼油事业部</w:t>
            </w:r>
            <w:r>
              <w:rPr>
                <w:rFonts w:hint="eastAsia" w:ascii="宋体" w:hAnsi="宋体" w:eastAsia="宋体" w:cs="宋体"/>
                <w:color w:val="auto"/>
                <w:sz w:val="24"/>
                <w:szCs w:val="24"/>
                <w:lang w:eastAsia="zh-CN"/>
              </w:rPr>
              <w:t>催化裂化烟气脱硫（</w:t>
            </w:r>
            <w:r>
              <w:rPr>
                <w:rFonts w:hint="eastAsia" w:ascii="宋体" w:hAnsi="宋体" w:eastAsia="宋体" w:cs="宋体"/>
                <w:color w:val="auto"/>
                <w:sz w:val="24"/>
                <w:szCs w:val="24"/>
                <w:lang w:val="en-US" w:eastAsia="zh-CN"/>
              </w:rPr>
              <w:t>该工段不属于本项目验收范围</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中使用，厂区污水处理站不对厂内废水设置相关接纳限值要求，为此本次项目废水</w:t>
            </w:r>
            <w:r>
              <w:rPr>
                <w:rFonts w:hint="eastAsia" w:ascii="宋体" w:hAnsi="宋体" w:eastAsia="宋体" w:cs="宋体"/>
                <w:color w:val="auto"/>
                <w:sz w:val="24"/>
                <w:szCs w:val="24"/>
                <w:lang w:eastAsia="zh-CN"/>
              </w:rPr>
              <w:t>排放限值标准</w:t>
            </w:r>
            <w:r>
              <w:rPr>
                <w:rFonts w:hint="eastAsia" w:ascii="宋体" w:hAnsi="宋体" w:eastAsia="宋体" w:cs="宋体"/>
                <w:color w:val="auto"/>
                <w:sz w:val="24"/>
                <w:szCs w:val="24"/>
                <w:lang w:val="en-US" w:eastAsia="zh-CN"/>
              </w:rPr>
              <w:t>如表2所示。另厂区自建污水处理站废水参照《</w:t>
            </w:r>
            <w:r>
              <w:rPr>
                <w:rFonts w:hint="eastAsia" w:ascii="宋体" w:hAnsi="宋体" w:eastAsia="宋体" w:cs="宋体"/>
                <w:color w:val="auto"/>
                <w:sz w:val="24"/>
                <w:szCs w:val="24"/>
                <w:lang w:eastAsia="zh-CN"/>
              </w:rPr>
              <w:t>石油化学工业污染物排放标准》(GB31571-2015)中表</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eastAsia="zh-CN"/>
              </w:rPr>
              <w:t>中水污染物特别排放限值标准</w:t>
            </w:r>
            <w:r>
              <w:rPr>
                <w:rFonts w:hint="eastAsia" w:ascii="宋体" w:hAnsi="宋体" w:eastAsia="宋体" w:cs="宋体"/>
                <w:color w:val="auto"/>
                <w:sz w:val="24"/>
                <w:szCs w:val="24"/>
                <w:lang w:val="en-US" w:eastAsia="zh-CN"/>
              </w:rPr>
              <w:t>执行。</w:t>
            </w:r>
          </w:p>
          <w:p>
            <w:pPr>
              <w:spacing w:line="360" w:lineRule="auto"/>
              <w:jc w:val="center"/>
              <w:rPr>
                <w:rFonts w:ascii="Times New Roman" w:hAnsi="Times New Roman" w:eastAsia="宋体" w:cs="Times New Roman"/>
                <w:b/>
                <w:bCs/>
                <w:color w:val="auto"/>
                <w:sz w:val="21"/>
                <w:szCs w:val="21"/>
                <w:lang w:eastAsia="zh-CN"/>
              </w:rPr>
            </w:pPr>
            <w:r>
              <w:rPr>
                <w:rFonts w:ascii="Times New Roman" w:hAnsi="Times New Roman" w:eastAsia="宋体" w:cs="Times New Roman"/>
                <w:b/>
                <w:bCs/>
                <w:color w:val="auto"/>
                <w:sz w:val="21"/>
                <w:szCs w:val="21"/>
                <w:lang w:eastAsia="zh-CN"/>
              </w:rPr>
              <w:t>表</w:t>
            </w:r>
            <w:r>
              <w:rPr>
                <w:rFonts w:hint="eastAsia" w:ascii="Times New Roman" w:hAnsi="Times New Roman" w:eastAsia="宋体" w:cs="Times New Roman"/>
                <w:b/>
                <w:bCs/>
                <w:color w:val="auto"/>
                <w:sz w:val="21"/>
                <w:szCs w:val="21"/>
                <w:lang w:eastAsia="zh-CN"/>
              </w:rPr>
              <w:t>2  本项目</w:t>
            </w:r>
            <w:r>
              <w:rPr>
                <w:rFonts w:ascii="Times New Roman" w:hAnsi="Times New Roman" w:eastAsia="宋体" w:cs="Times New Roman"/>
                <w:b/>
                <w:bCs/>
                <w:color w:val="auto"/>
                <w:sz w:val="21"/>
                <w:szCs w:val="21"/>
                <w:lang w:eastAsia="zh-CN"/>
              </w:rPr>
              <w:t>水污染物排放标准</w:t>
            </w:r>
          </w:p>
          <w:tbl>
            <w:tblPr>
              <w:tblStyle w:val="16"/>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925"/>
              <w:gridCol w:w="2749"/>
              <w:gridCol w:w="1776"/>
              <w:gridCol w:w="146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669" w:type="pct"/>
                  <w:tcBorders>
                    <w:tl2br w:val="nil"/>
                    <w:tr2bl w:val="nil"/>
                  </w:tcBorders>
                  <w:shd w:val="clear" w:color="auto" w:fill="D7D7D7" w:themeFill="background1" w:themeFillShade="D8"/>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val="0"/>
                      <w:color w:val="auto"/>
                      <w:sz w:val="21"/>
                      <w:szCs w:val="21"/>
                      <w:lang w:eastAsia="zh-CN"/>
                    </w:rPr>
                  </w:pPr>
                  <w:r>
                    <w:rPr>
                      <w:rFonts w:hint="eastAsia" w:ascii="宋体" w:hAnsi="宋体" w:eastAsia="宋体" w:cs="宋体"/>
                      <w:b/>
                      <w:bCs w:val="0"/>
                      <w:color w:val="auto"/>
                      <w:sz w:val="21"/>
                      <w:szCs w:val="21"/>
                      <w:lang w:eastAsia="zh-CN"/>
                    </w:rPr>
                    <w:t>类别</w:t>
                  </w:r>
                </w:p>
              </w:tc>
              <w:tc>
                <w:tcPr>
                  <w:tcW w:w="1986" w:type="pct"/>
                  <w:tcBorders>
                    <w:tl2br w:val="nil"/>
                    <w:tr2bl w:val="nil"/>
                  </w:tcBorders>
                  <w:shd w:val="clear" w:color="auto" w:fill="D7D7D7" w:themeFill="background1" w:themeFillShade="D8"/>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val="0"/>
                      <w:color w:val="auto"/>
                      <w:sz w:val="21"/>
                      <w:szCs w:val="21"/>
                      <w:lang w:eastAsia="zh-CN"/>
                    </w:rPr>
                  </w:pPr>
                  <w:r>
                    <w:rPr>
                      <w:rFonts w:hint="eastAsia" w:ascii="宋体" w:hAnsi="宋体" w:eastAsia="宋体" w:cs="宋体"/>
                      <w:b/>
                      <w:bCs w:val="0"/>
                      <w:color w:val="auto"/>
                      <w:sz w:val="21"/>
                      <w:szCs w:val="21"/>
                      <w:lang w:eastAsia="zh-CN"/>
                    </w:rPr>
                    <w:t>标准名称</w:t>
                  </w:r>
                </w:p>
              </w:tc>
              <w:tc>
                <w:tcPr>
                  <w:tcW w:w="1283" w:type="pct"/>
                  <w:tcBorders>
                    <w:tl2br w:val="nil"/>
                    <w:tr2bl w:val="nil"/>
                  </w:tcBorders>
                  <w:shd w:val="clear" w:color="auto" w:fill="D7D7D7" w:themeFill="background1" w:themeFillShade="D8"/>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val="0"/>
                      <w:color w:val="auto"/>
                      <w:sz w:val="21"/>
                      <w:szCs w:val="21"/>
                      <w:lang w:eastAsia="zh-CN"/>
                    </w:rPr>
                  </w:pPr>
                  <w:r>
                    <w:rPr>
                      <w:rFonts w:hint="eastAsia" w:ascii="宋体" w:hAnsi="宋体" w:eastAsia="宋体" w:cs="宋体"/>
                      <w:b/>
                      <w:bCs w:val="0"/>
                      <w:color w:val="auto"/>
                      <w:kern w:val="2"/>
                      <w:sz w:val="21"/>
                      <w:szCs w:val="21"/>
                    </w:rPr>
                    <w:t>污染物</w:t>
                  </w:r>
                </w:p>
              </w:tc>
              <w:tc>
                <w:tcPr>
                  <w:tcW w:w="1060" w:type="pct"/>
                  <w:tcBorders>
                    <w:tl2br w:val="nil"/>
                    <w:tr2bl w:val="nil"/>
                  </w:tcBorders>
                  <w:shd w:val="clear" w:color="auto" w:fill="D7D7D7" w:themeFill="background1" w:themeFillShade="D8"/>
                  <w:vAlign w:val="center"/>
                </w:tcPr>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b/>
                      <w:bCs w:val="0"/>
                      <w:color w:val="auto"/>
                      <w:kern w:val="2"/>
                      <w:sz w:val="21"/>
                      <w:szCs w:val="21"/>
                    </w:rPr>
                  </w:pPr>
                  <w:r>
                    <w:rPr>
                      <w:rFonts w:hint="eastAsia" w:ascii="宋体" w:hAnsi="宋体" w:eastAsia="宋体" w:cs="宋体"/>
                      <w:b/>
                      <w:bCs w:val="0"/>
                      <w:color w:val="auto"/>
                      <w:kern w:val="2"/>
                      <w:sz w:val="21"/>
                      <w:szCs w:val="21"/>
                    </w:rPr>
                    <w:t>排放标准限值</w:t>
                  </w:r>
                </w:p>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宋体" w:hAnsi="宋体" w:eastAsia="宋体" w:cs="宋体"/>
                      <w:b/>
                      <w:bCs w:val="0"/>
                      <w:color w:val="auto"/>
                      <w:sz w:val="21"/>
                      <w:szCs w:val="21"/>
                      <w:lang w:val="en-US" w:eastAsia="zh-CN"/>
                    </w:rPr>
                  </w:pPr>
                  <w:r>
                    <w:rPr>
                      <w:rFonts w:hint="eastAsia" w:ascii="宋体" w:hAnsi="宋体" w:eastAsia="宋体" w:cs="宋体"/>
                      <w:b/>
                      <w:bCs/>
                      <w:color w:val="auto"/>
                      <w:sz w:val="21"/>
                      <w:szCs w:val="21"/>
                      <w:lang w:eastAsia="zh-CN"/>
                    </w:rPr>
                    <w:t>（</w:t>
                  </w:r>
                  <w:r>
                    <w:rPr>
                      <w:rFonts w:hint="eastAsia" w:ascii="宋体" w:hAnsi="宋体" w:eastAsia="宋体" w:cs="宋体"/>
                      <w:b/>
                      <w:bCs w:val="0"/>
                      <w:color w:val="auto"/>
                      <w:kern w:val="2"/>
                      <w:sz w:val="21"/>
                      <w:szCs w:val="21"/>
                      <w:lang w:val="en-US" w:eastAsia="zh-CN"/>
                    </w:rPr>
                    <w:t>mg/L</w:t>
                  </w:r>
                  <w:r>
                    <w:rPr>
                      <w:rFonts w:hint="eastAsia" w:ascii="宋体" w:hAnsi="宋体" w:eastAsia="宋体" w:cs="宋体"/>
                      <w:b/>
                      <w:bCs/>
                      <w:color w:val="auto"/>
                      <w:sz w:val="21"/>
                      <w:szCs w:val="21"/>
                      <w:vertAlign w:val="baseline"/>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9" w:type="pct"/>
                  <w:vMerge w:val="restar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废水</w:t>
                  </w:r>
                </w:p>
              </w:tc>
              <w:tc>
                <w:tcPr>
                  <w:tcW w:w="1986" w:type="pct"/>
                  <w:vMerge w:val="restar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厂区污水处理站接纳标准</w:t>
                  </w:r>
                </w:p>
              </w:tc>
              <w:tc>
                <w:tcPr>
                  <w:tcW w:w="1283"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pH</w:t>
                  </w:r>
                </w:p>
              </w:tc>
              <w:tc>
                <w:tcPr>
                  <w:tcW w:w="1060"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jc w:val="center"/>
              </w:trPr>
              <w:tc>
                <w:tcPr>
                  <w:tcW w:w="669"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986"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283"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COD</w:t>
                  </w:r>
                </w:p>
              </w:tc>
              <w:tc>
                <w:tcPr>
                  <w:tcW w:w="1060"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9"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986"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283"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硫化物</w:t>
                  </w:r>
                </w:p>
              </w:tc>
              <w:tc>
                <w:tcPr>
                  <w:tcW w:w="1060"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9"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986"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283"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氨氮</w:t>
                  </w:r>
                </w:p>
              </w:tc>
              <w:tc>
                <w:tcPr>
                  <w:tcW w:w="1060"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9"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986"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283"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SS</w:t>
                  </w:r>
                </w:p>
              </w:tc>
              <w:tc>
                <w:tcPr>
                  <w:tcW w:w="1060"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9"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986"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283"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石油类</w:t>
                  </w:r>
                </w:p>
              </w:tc>
              <w:tc>
                <w:tcPr>
                  <w:tcW w:w="1060"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669"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986" w:type="pct"/>
                  <w:vMerge w:val="continue"/>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c>
                <w:tcPr>
                  <w:tcW w:w="1283"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挥发酚</w:t>
                  </w:r>
                </w:p>
              </w:tc>
              <w:tc>
                <w:tcPr>
                  <w:tcW w:w="1060"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bl>
          <w:p>
            <w:pPr>
              <w:autoSpaceDE/>
              <w:autoSpaceDN/>
              <w:spacing w:line="360" w:lineRule="auto"/>
              <w:rPr>
                <w:rFonts w:ascii="Times New Roman" w:hAnsi="Times New Roman" w:cs="Times New Roman"/>
                <w:b/>
                <w:bCs/>
                <w:color w:val="auto"/>
                <w:sz w:val="24"/>
                <w:szCs w:val="24"/>
                <w:lang w:eastAsia="zh-CN"/>
              </w:rPr>
            </w:pPr>
            <w:r>
              <w:rPr>
                <w:rFonts w:hint="eastAsia" w:ascii="Times New Roman" w:hAnsi="Times New Roman" w:eastAsia="宋体" w:cs="Times New Roman"/>
                <w:b/>
                <w:bCs/>
                <w:color w:val="auto"/>
                <w:sz w:val="24"/>
                <w:szCs w:val="24"/>
                <w:lang w:eastAsia="zh-CN"/>
              </w:rPr>
              <w:t>三</w:t>
            </w:r>
            <w:r>
              <w:rPr>
                <w:rFonts w:ascii="Times New Roman" w:hAnsi="Times New Roman" w:cs="Times New Roman"/>
                <w:b/>
                <w:bCs/>
                <w:color w:val="auto"/>
                <w:sz w:val="24"/>
                <w:szCs w:val="24"/>
                <w:lang w:eastAsia="zh-CN"/>
              </w:rPr>
              <w:t>、噪声排放标准：</w:t>
            </w:r>
          </w:p>
          <w:p>
            <w:pPr>
              <w:spacing w:line="360" w:lineRule="auto"/>
              <w:ind w:firstLine="480" w:firstLineChars="200"/>
              <w:rPr>
                <w:rFonts w:hint="eastAsia" w:ascii="宋体" w:hAnsi="宋体" w:eastAsia="宋体" w:cs="宋体"/>
                <w:b/>
                <w:bCs/>
                <w:color w:val="auto"/>
                <w:sz w:val="24"/>
                <w:szCs w:val="24"/>
                <w:lang w:eastAsia="zh-CN"/>
              </w:rPr>
            </w:pPr>
            <w:r>
              <w:rPr>
                <w:rFonts w:hint="eastAsia" w:ascii="宋体" w:hAnsi="宋体" w:eastAsia="宋体" w:cs="宋体"/>
                <w:color w:val="auto"/>
                <w:sz w:val="24"/>
                <w:szCs w:val="24"/>
                <w:lang w:eastAsia="zh-CN"/>
              </w:rPr>
              <w:t>主要为设备运行时产生的噪声，执行《工业企业厂界环境噪声排放标准》（GB 12348-2008）3类标准，详见表</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lang w:eastAsia="zh-CN"/>
              </w:rPr>
              <w:t>。</w:t>
            </w:r>
          </w:p>
          <w:p>
            <w:pPr>
              <w:spacing w:line="360" w:lineRule="auto"/>
              <w:jc w:val="center"/>
              <w:rPr>
                <w:rFonts w:ascii="Times New Roman" w:hAnsi="Times New Roman" w:eastAsia="宋体" w:cs="Times New Roman"/>
                <w:b/>
                <w:bCs/>
                <w:color w:val="auto"/>
                <w:sz w:val="21"/>
                <w:szCs w:val="21"/>
                <w:lang w:eastAsia="zh-CN"/>
              </w:rPr>
            </w:pPr>
            <w:r>
              <w:rPr>
                <w:rFonts w:ascii="Times New Roman" w:hAnsi="Times New Roman" w:eastAsia="宋体" w:cs="Times New Roman"/>
                <w:b/>
                <w:bCs/>
                <w:color w:val="auto"/>
                <w:sz w:val="21"/>
                <w:szCs w:val="21"/>
                <w:lang w:eastAsia="zh-CN"/>
              </w:rPr>
              <w:t>表</w:t>
            </w:r>
            <w:r>
              <w:rPr>
                <w:rFonts w:hint="eastAsia" w:ascii="Times New Roman" w:hAnsi="Times New Roman" w:eastAsia="宋体" w:cs="Times New Roman"/>
                <w:b/>
                <w:bCs/>
                <w:color w:val="auto"/>
                <w:sz w:val="21"/>
                <w:szCs w:val="21"/>
                <w:lang w:val="en-US" w:eastAsia="zh-CN"/>
              </w:rPr>
              <w:t>3</w:t>
            </w:r>
            <w:r>
              <w:rPr>
                <w:rFonts w:ascii="Times New Roman" w:hAnsi="Times New Roman" w:eastAsia="宋体" w:cs="Times New Roman"/>
                <w:b/>
                <w:bCs/>
                <w:color w:val="auto"/>
                <w:sz w:val="21"/>
                <w:szCs w:val="21"/>
                <w:lang w:eastAsia="zh-CN"/>
              </w:rPr>
              <w:t xml:space="preserve">  工业企业厂界环境噪声排放标准</w:t>
            </w:r>
          </w:p>
          <w:tbl>
            <w:tblPr>
              <w:tblStyle w:val="16"/>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93"/>
              <w:gridCol w:w="4070"/>
              <w:gridCol w:w="594"/>
              <w:gridCol w:w="594"/>
              <w:gridCol w:w="106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14" w:hRule="atLeast"/>
                <w:jc w:val="center"/>
              </w:trPr>
              <w:tc>
                <w:tcPr>
                  <w:tcW w:w="429" w:type="pct"/>
                  <w:tcBorders>
                    <w:tl2br w:val="nil"/>
                    <w:tr2bl w:val="nil"/>
                  </w:tcBorders>
                  <w:shd w:val="clear" w:color="auto" w:fill="D7D7D7" w:themeFill="background1" w:themeFillShade="D8"/>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val="0"/>
                      <w:color w:val="auto"/>
                      <w:sz w:val="21"/>
                      <w:szCs w:val="21"/>
                      <w:lang w:eastAsia="zh-CN"/>
                    </w:rPr>
                  </w:pPr>
                  <w:r>
                    <w:rPr>
                      <w:rFonts w:hint="eastAsia" w:ascii="宋体" w:hAnsi="宋体" w:eastAsia="宋体" w:cs="宋体"/>
                      <w:b/>
                      <w:bCs w:val="0"/>
                      <w:color w:val="auto"/>
                      <w:sz w:val="21"/>
                      <w:szCs w:val="21"/>
                      <w:lang w:eastAsia="zh-CN"/>
                    </w:rPr>
                    <w:t>类别</w:t>
                  </w:r>
                </w:p>
              </w:tc>
              <w:tc>
                <w:tcPr>
                  <w:tcW w:w="2940" w:type="pct"/>
                  <w:tcBorders>
                    <w:tl2br w:val="nil"/>
                    <w:tr2bl w:val="nil"/>
                  </w:tcBorders>
                  <w:shd w:val="clear" w:color="auto" w:fill="D7D7D7" w:themeFill="background1" w:themeFillShade="D8"/>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val="0"/>
                      <w:color w:val="auto"/>
                      <w:sz w:val="21"/>
                      <w:szCs w:val="21"/>
                      <w:lang w:eastAsia="zh-CN"/>
                    </w:rPr>
                  </w:pPr>
                  <w:r>
                    <w:rPr>
                      <w:rFonts w:hint="eastAsia" w:ascii="宋体" w:hAnsi="宋体" w:eastAsia="宋体" w:cs="宋体"/>
                      <w:b/>
                      <w:bCs w:val="0"/>
                      <w:color w:val="auto"/>
                      <w:sz w:val="21"/>
                      <w:szCs w:val="21"/>
                      <w:lang w:eastAsia="zh-CN"/>
                    </w:rPr>
                    <w:t>标准名称</w:t>
                  </w:r>
                </w:p>
              </w:tc>
              <w:tc>
                <w:tcPr>
                  <w:tcW w:w="429" w:type="pct"/>
                  <w:tcBorders>
                    <w:tl2br w:val="nil"/>
                    <w:tr2bl w:val="nil"/>
                  </w:tcBorders>
                  <w:shd w:val="clear" w:color="auto" w:fill="D7D7D7" w:themeFill="background1" w:themeFillShade="D8"/>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val="0"/>
                      <w:color w:val="auto"/>
                      <w:sz w:val="21"/>
                      <w:szCs w:val="21"/>
                      <w:lang w:eastAsia="zh-CN"/>
                    </w:rPr>
                  </w:pPr>
                  <w:r>
                    <w:rPr>
                      <w:rFonts w:hint="eastAsia" w:ascii="宋体" w:hAnsi="宋体" w:eastAsia="宋体" w:cs="宋体"/>
                      <w:b/>
                      <w:bCs w:val="0"/>
                      <w:color w:val="auto"/>
                      <w:sz w:val="21"/>
                      <w:szCs w:val="21"/>
                      <w:lang w:eastAsia="zh-CN"/>
                    </w:rPr>
                    <w:t>适用类别</w:t>
                  </w:r>
                </w:p>
              </w:tc>
              <w:tc>
                <w:tcPr>
                  <w:tcW w:w="1201" w:type="pct"/>
                  <w:gridSpan w:val="2"/>
                  <w:tcBorders>
                    <w:tl2br w:val="nil"/>
                    <w:tr2bl w:val="nil"/>
                  </w:tcBorders>
                  <w:shd w:val="clear" w:color="auto" w:fill="D7D7D7" w:themeFill="background1" w:themeFillShade="D8"/>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val="0"/>
                      <w:color w:val="auto"/>
                      <w:sz w:val="21"/>
                      <w:szCs w:val="21"/>
                      <w:lang w:eastAsia="zh-CN"/>
                    </w:rPr>
                  </w:pPr>
                  <w:r>
                    <w:rPr>
                      <w:rFonts w:hint="eastAsia" w:ascii="宋体" w:hAnsi="宋体" w:eastAsia="宋体" w:cs="宋体"/>
                      <w:b/>
                      <w:bCs w:val="0"/>
                      <w:color w:val="auto"/>
                      <w:sz w:val="21"/>
                      <w:szCs w:val="21"/>
                      <w:lang w:eastAsia="zh-CN"/>
                    </w:rPr>
                    <w:t>标准限值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jc w:val="center"/>
              </w:trPr>
              <w:tc>
                <w:tcPr>
                  <w:tcW w:w="429"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厂界噪声</w:t>
                  </w:r>
                </w:p>
              </w:tc>
              <w:tc>
                <w:tcPr>
                  <w:tcW w:w="2940"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《工业企业厂界环境噪声排放标准》（GB 12348-2008）</w:t>
                  </w:r>
                </w:p>
              </w:tc>
              <w:tc>
                <w:tcPr>
                  <w:tcW w:w="429"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三类标准</w:t>
                  </w:r>
                </w:p>
              </w:tc>
              <w:tc>
                <w:tcPr>
                  <w:tcW w:w="429" w:type="pct"/>
                  <w:tcBorders>
                    <w:tl2br w:val="nil"/>
                    <w:tr2bl w:val="nil"/>
                  </w:tcBorders>
                  <w:vAlign w:val="center"/>
                </w:tcPr>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等效声级</w:t>
                  </w:r>
                </w:p>
              </w:tc>
              <w:tc>
                <w:tcPr>
                  <w:tcW w:w="77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昼间 </w:t>
                  </w:r>
                  <w:r>
                    <w:rPr>
                      <w:rFonts w:hint="eastAsia" w:ascii="宋体" w:hAnsi="宋体" w:eastAsia="宋体" w:cs="宋体"/>
                      <w:color w:val="auto"/>
                      <w:sz w:val="21"/>
                      <w:szCs w:val="21"/>
                      <w:lang w:val="en-US" w:eastAsia="zh-CN"/>
                    </w:rPr>
                    <w:t>65</w:t>
                  </w:r>
                  <w:r>
                    <w:rPr>
                      <w:rFonts w:hint="eastAsia" w:ascii="宋体" w:hAnsi="宋体" w:eastAsia="宋体" w:cs="宋体"/>
                      <w:color w:val="auto"/>
                      <w:sz w:val="21"/>
                      <w:szCs w:val="21"/>
                    </w:rPr>
                    <w:t>dB(A)</w:t>
                  </w:r>
                </w:p>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夜间 </w:t>
                  </w:r>
                </w:p>
                <w:p>
                  <w:pPr>
                    <w:pStyle w:val="23"/>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55</w:t>
                  </w:r>
                  <w:r>
                    <w:rPr>
                      <w:rFonts w:hint="eastAsia" w:ascii="宋体" w:hAnsi="宋体" w:eastAsia="宋体" w:cs="宋体"/>
                      <w:color w:val="auto"/>
                      <w:sz w:val="21"/>
                      <w:szCs w:val="21"/>
                    </w:rPr>
                    <w:t>dB(A</w:t>
                  </w:r>
                </w:p>
              </w:tc>
            </w:tr>
          </w:tbl>
          <w:p/>
          <w:p>
            <w:pPr>
              <w:pStyle w:val="2"/>
            </w:pPr>
          </w:p>
          <w:p>
            <w:pPr>
              <w:pStyle w:val="2"/>
            </w:pPr>
          </w:p>
          <w:p>
            <w:pPr>
              <w:pStyle w:val="2"/>
            </w:pPr>
          </w:p>
          <w:p>
            <w:pPr>
              <w:pStyle w:val="2"/>
            </w:pPr>
          </w:p>
          <w:p>
            <w:pPr>
              <w:pStyle w:val="2"/>
              <w:spacing w:before="7" w:line="360" w:lineRule="auto"/>
              <w:ind w:right="277"/>
              <w:rPr>
                <w:rFonts w:ascii="Times New Roman" w:hAnsi="Times New Roman" w:eastAsia="宋体" w:cs="Times New Roman"/>
                <w:color w:val="auto"/>
                <w:sz w:val="24"/>
                <w:szCs w:val="24"/>
                <w:lang w:eastAsia="zh-CN"/>
              </w:rPr>
            </w:pPr>
          </w:p>
        </w:tc>
      </w:tr>
    </w:tbl>
    <w:p>
      <w:pPr>
        <w:widowControl/>
        <w:autoSpaceDE/>
        <w:autoSpaceDN/>
        <w:rPr>
          <w:lang w:eastAsia="zh-CN"/>
        </w:rPr>
      </w:pPr>
      <w:r>
        <w:rPr>
          <w:lang w:eastAsia="zh-CN"/>
        </w:rPr>
        <w:br w:type="page"/>
      </w:r>
    </w:p>
    <w:p>
      <w:pPr>
        <w:spacing w:line="386" w:lineRule="exact"/>
        <w:rPr>
          <w:rFonts w:ascii="Times New Roman" w:hAnsi="Times New Roman" w:eastAsia="宋体" w:cs="Times New Roman"/>
          <w:b/>
          <w:sz w:val="24"/>
          <w:szCs w:val="24"/>
        </w:rPr>
      </w:pPr>
      <w:r>
        <w:rPr>
          <w:rFonts w:ascii="Times New Roman" w:hAnsi="Times New Roman" w:eastAsia="宋体" w:cs="Times New Roman"/>
          <w:b/>
          <w:sz w:val="24"/>
          <w:szCs w:val="24"/>
        </w:rPr>
        <w:t>表二</w:t>
      </w:r>
    </w:p>
    <w:tbl>
      <w:tblPr>
        <w:tblStyle w:val="16"/>
        <w:tblW w:w="52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Pr>
          <w:p>
            <w:pPr>
              <w:spacing w:line="360" w:lineRule="auto"/>
              <w:rPr>
                <w:rFonts w:hint="eastAsia" w:ascii="宋体" w:hAnsi="宋体" w:eastAsia="宋体" w:cs="宋体"/>
                <w:color w:val="auto"/>
                <w:sz w:val="24"/>
                <w:szCs w:val="24"/>
                <w:lang w:eastAsia="zh-CN"/>
              </w:rPr>
            </w:pPr>
            <w:r>
              <w:rPr>
                <w:rFonts w:ascii="Times New Roman" w:hAnsi="Times New Roman" w:eastAsia="宋体" w:cs="Times New Roman"/>
                <w:color w:val="auto"/>
                <w:sz w:val="24"/>
                <w:szCs w:val="24"/>
                <w:lang w:eastAsia="zh-CN"/>
              </w:rPr>
              <w:t>工</w:t>
            </w:r>
            <w:r>
              <w:rPr>
                <w:rFonts w:hint="eastAsia" w:ascii="宋体" w:hAnsi="宋体" w:eastAsia="宋体" w:cs="宋体"/>
                <w:color w:val="auto"/>
                <w:sz w:val="24"/>
                <w:szCs w:val="24"/>
                <w:lang w:eastAsia="zh-CN"/>
              </w:rPr>
              <w:t>程建设内容：</w:t>
            </w:r>
          </w:p>
          <w:p>
            <w:pPr>
              <w:spacing w:line="360" w:lineRule="auto"/>
              <w:ind w:firstLine="480" w:firstLineChars="200"/>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巴陵石化为贯彻《中华人民共和国环境保护法》《中华人民共和国大气污染防治法》，防治环境污染，改善环境质量，加强对VOCs无组织排放的控制和管理，特新建一套有机废气收集系统和有机废气燃烧处理装置对巴陵石化炼油事业的污水预处理工段、苯乙烯中罐区、装卸站台、原油区脱水井、中间罐区轻质油罐组等装置的无组织有机废气进行收集处理。</w:t>
            </w:r>
          </w:p>
          <w:p>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项目建设内容见下表。</w:t>
            </w:r>
          </w:p>
          <w:p>
            <w:pPr>
              <w:pStyle w:val="9"/>
              <w:jc w:val="center"/>
              <w:rPr>
                <w:rFonts w:hint="default" w:eastAsia="宋体"/>
                <w:color w:val="auto"/>
                <w:lang w:val="en-US" w:eastAsia="zh-CN"/>
              </w:rPr>
            </w:pPr>
            <w:r>
              <w:rPr>
                <w:rFonts w:ascii="Times New Roman" w:hAnsi="Times New Roman" w:eastAsia="宋体" w:cs="Times New Roman"/>
                <w:b/>
                <w:bCs/>
                <w:color w:val="auto"/>
                <w:sz w:val="21"/>
                <w:szCs w:val="21"/>
                <w:lang w:eastAsia="zh-CN"/>
              </w:rPr>
              <w:t>表</w:t>
            </w:r>
            <w:r>
              <w:rPr>
                <w:rFonts w:hint="eastAsia" w:ascii="Times New Roman" w:hAnsi="Times New Roman" w:eastAsia="宋体" w:cs="Times New Roman"/>
                <w:b/>
                <w:bCs/>
                <w:color w:val="auto"/>
                <w:sz w:val="21"/>
                <w:szCs w:val="21"/>
                <w:lang w:val="en-US" w:eastAsia="zh-CN"/>
              </w:rPr>
              <w:t>4</w:t>
            </w:r>
            <w:r>
              <w:rPr>
                <w:rFonts w:ascii="Times New Roman" w:hAnsi="Times New Roman" w:eastAsia="宋体" w:cs="Times New Roman"/>
                <w:b/>
                <w:bCs/>
                <w:color w:val="auto"/>
                <w:sz w:val="21"/>
                <w:szCs w:val="21"/>
                <w:lang w:eastAsia="zh-CN"/>
              </w:rPr>
              <w:t xml:space="preserve"> </w:t>
            </w:r>
            <w:r>
              <w:rPr>
                <w:rFonts w:hint="eastAsia" w:ascii="Times New Roman" w:hAnsi="Times New Roman" w:eastAsia="宋体" w:cs="Times New Roman"/>
                <w:b/>
                <w:bCs/>
                <w:color w:val="auto"/>
                <w:sz w:val="21"/>
                <w:szCs w:val="21"/>
                <w:lang w:val="en-US" w:eastAsia="zh-CN"/>
              </w:rPr>
              <w:t xml:space="preserve"> 主要建设内容一览表</w:t>
            </w:r>
          </w:p>
          <w:tbl>
            <w:tblPr>
              <w:tblStyle w:val="16"/>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148"/>
              <w:gridCol w:w="4464"/>
              <w:gridCol w:w="24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tcBorders>
                    <w:tl2br w:val="nil"/>
                    <w:tr2bl w:val="nil"/>
                  </w:tcBorders>
                  <w:shd w:val="clear" w:color="auto" w:fill="D7D7D7" w:themeFill="background1" w:themeFillShade="D8"/>
                  <w:vAlign w:val="center"/>
                </w:tcPr>
                <w:p>
                  <w:pPr>
                    <w:pStyle w:val="2"/>
                    <w:keepNext w:val="0"/>
                    <w:keepLines w:val="0"/>
                    <w:pageBreakBefore w:val="0"/>
                    <w:kinsoku/>
                    <w:wordWrap/>
                    <w:overflowPunct/>
                    <w:topLinePunct w:val="0"/>
                    <w:autoSpaceDE/>
                    <w:autoSpaceDN w:val="0"/>
                    <w:bidi w:val="0"/>
                    <w:spacing w:line="240" w:lineRule="auto"/>
                    <w:contextualSpacing/>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分类</w:t>
                  </w:r>
                </w:p>
              </w:tc>
              <w:tc>
                <w:tcPr>
                  <w:tcW w:w="662"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名称</w:t>
                  </w:r>
                </w:p>
              </w:tc>
              <w:tc>
                <w:tcPr>
                  <w:tcW w:w="2572"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环评及批复建设情况</w:t>
                  </w:r>
                </w:p>
              </w:tc>
              <w:tc>
                <w:tcPr>
                  <w:tcW w:w="1394"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tcBorders>
                    <w:tl2br w:val="nil"/>
                    <w:tr2bl w:val="nil"/>
                  </w:tcBorders>
                  <w:vAlign w:val="center"/>
                </w:tcPr>
                <w:p>
                  <w:pPr>
                    <w:pStyle w:val="2"/>
                    <w:keepNext w:val="0"/>
                    <w:keepLines w:val="0"/>
                    <w:pageBreakBefore w:val="0"/>
                    <w:kinsoku/>
                    <w:wordWrap/>
                    <w:overflowPunct/>
                    <w:topLinePunct w:val="0"/>
                    <w:autoSpaceDE/>
                    <w:autoSpaceDN w:val="0"/>
                    <w:bidi w:val="0"/>
                    <w:spacing w:line="240" w:lineRule="auto"/>
                    <w:contextualSpacing/>
                    <w:jc w:val="center"/>
                    <w:rPr>
                      <w:rFonts w:hint="eastAsia" w:ascii="宋体" w:hAnsi="宋体" w:eastAsia="宋体" w:cs="宋体"/>
                      <w:color w:val="auto"/>
                      <w:sz w:val="21"/>
                      <w:szCs w:val="21"/>
                    </w:rPr>
                  </w:pPr>
                  <w:r>
                    <w:rPr>
                      <w:rFonts w:hint="eastAsia" w:ascii="宋体" w:hAnsi="宋体" w:eastAsia="宋体" w:cs="宋体"/>
                      <w:color w:val="auto"/>
                      <w:sz w:val="21"/>
                      <w:szCs w:val="21"/>
                    </w:rPr>
                    <w:t>主体工程</w:t>
                  </w:r>
                </w:p>
              </w:tc>
              <w:tc>
                <w:tcPr>
                  <w:tcW w:w="662" w:type="pct"/>
                  <w:tcBorders>
                    <w:tl2br w:val="nil"/>
                    <w:tr2bl w:val="nil"/>
                  </w:tcBorders>
                  <w:vAlign w:val="center"/>
                </w:tcPr>
                <w:p>
                  <w:pPr>
                    <w:pStyle w:val="9"/>
                    <w:keepNext w:val="0"/>
                    <w:keepLines w:val="0"/>
                    <w:pageBreakBefore w:val="0"/>
                    <w:kinsoku/>
                    <w:wordWrap/>
                    <w:overflowPunct/>
                    <w:topLinePunct w:val="0"/>
                    <w:autoSpaceDN w:val="0"/>
                    <w:bidi w:val="0"/>
                    <w:spacing w:line="24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VOCs热氧处理系统</w:t>
                  </w:r>
                </w:p>
                <w:p>
                  <w:pPr>
                    <w:keepNext w:val="0"/>
                    <w:keepLines w:val="0"/>
                    <w:pageBreakBefore w:val="0"/>
                    <w:kinsoku/>
                    <w:wordWrap/>
                    <w:overflowPunct/>
                    <w:topLinePunct w:val="0"/>
                    <w:autoSpaceDE/>
                    <w:autoSpaceDN w:val="0"/>
                    <w:bidi w:val="0"/>
                    <w:spacing w:line="240" w:lineRule="auto"/>
                    <w:contextualSpacing/>
                    <w:jc w:val="center"/>
                    <w:textAlignment w:val="center"/>
                    <w:rPr>
                      <w:rFonts w:hint="eastAsia" w:ascii="宋体" w:hAnsi="宋体" w:eastAsia="宋体" w:cs="宋体"/>
                      <w:color w:val="auto"/>
                      <w:sz w:val="21"/>
                      <w:szCs w:val="21"/>
                      <w:lang w:eastAsia="zh-CN"/>
                    </w:rPr>
                  </w:pPr>
                </w:p>
              </w:tc>
              <w:tc>
                <w:tcPr>
                  <w:tcW w:w="2572" w:type="pct"/>
                  <w:tcBorders>
                    <w:tl2br w:val="nil"/>
                    <w:tr2bl w:val="nil"/>
                  </w:tcBorders>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lang w:val="en-US" w:eastAsia="en-US" w:bidi="ar-SA"/>
                    </w:rPr>
                    <w:t>VOCs废气缓冲罐（2套）、热氧化炉（1座）、</w:t>
                  </w:r>
                  <w:r>
                    <w:rPr>
                      <w:rFonts w:hint="eastAsia" w:ascii="宋体" w:hAnsi="宋体" w:eastAsia="宋体" w:cs="宋体"/>
                      <w:color w:val="auto"/>
                      <w:kern w:val="0"/>
                      <w:sz w:val="21"/>
                      <w:szCs w:val="21"/>
                      <w:lang w:val="en-US" w:eastAsia="zh-CN" w:bidi="ar-SA"/>
                    </w:rPr>
                    <w:t>废气收集管网（1套，含2根管线）</w:t>
                  </w:r>
                </w:p>
              </w:tc>
              <w:tc>
                <w:tcPr>
                  <w:tcW w:w="1394" w:type="pct"/>
                  <w:tcBorders>
                    <w:tl2br w:val="nil"/>
                    <w:tr2bl w:val="nil"/>
                  </w:tcBorders>
                  <w:vAlign w:val="center"/>
                </w:tcPr>
                <w:p>
                  <w:pPr>
                    <w:keepNext w:val="0"/>
                    <w:keepLines w:val="0"/>
                    <w:pageBreakBefore w:val="0"/>
                    <w:kinsoku/>
                    <w:wordWrap/>
                    <w:overflowPunct/>
                    <w:topLinePunct w:val="0"/>
                    <w:autoSpaceDE/>
                    <w:autoSpaceDN w:val="0"/>
                    <w:bidi w:val="0"/>
                    <w:spacing w:line="240" w:lineRule="auto"/>
                    <w:contextualSpacing/>
                    <w:jc w:val="center"/>
                    <w:textAlignment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vMerge w:val="restar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rPr>
                    <w:t>公用工程</w:t>
                  </w:r>
                </w:p>
              </w:tc>
              <w:tc>
                <w:tcPr>
                  <w:tcW w:w="662"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rPr>
                    <w:t>供电</w:t>
                  </w:r>
                </w:p>
              </w:tc>
              <w:tc>
                <w:tcPr>
                  <w:tcW w:w="2572"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依托全厂原有</w:t>
                  </w:r>
                </w:p>
              </w:tc>
              <w:tc>
                <w:tcPr>
                  <w:tcW w:w="13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p>
              </w:tc>
              <w:tc>
                <w:tcPr>
                  <w:tcW w:w="662"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rPr>
                    <w:t>供气</w:t>
                  </w:r>
                </w:p>
              </w:tc>
              <w:tc>
                <w:tcPr>
                  <w:tcW w:w="2572"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lang w:eastAsia="zh-CN"/>
                    </w:rPr>
                    <w:t>依托全厂原有</w:t>
                  </w:r>
                </w:p>
              </w:tc>
              <w:tc>
                <w:tcPr>
                  <w:tcW w:w="13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trPr>
              <w:tc>
                <w:tcPr>
                  <w:tcW w:w="370" w:type="pct"/>
                  <w:vMerge w:val="restar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环保工程</w:t>
                  </w:r>
                </w:p>
              </w:tc>
              <w:tc>
                <w:tcPr>
                  <w:tcW w:w="662"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废气</w:t>
                  </w:r>
                </w:p>
              </w:tc>
              <w:tc>
                <w:tcPr>
                  <w:tcW w:w="2572"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en-US" w:bidi="ar-SA"/>
                    </w:rPr>
                    <w:t>脱硫塔（1座）</w:t>
                  </w:r>
                </w:p>
              </w:tc>
              <w:tc>
                <w:tcPr>
                  <w:tcW w:w="13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0"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p>
              </w:tc>
              <w:tc>
                <w:tcPr>
                  <w:tcW w:w="662"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废水</w:t>
                  </w:r>
                </w:p>
              </w:tc>
              <w:tc>
                <w:tcPr>
                  <w:tcW w:w="2572"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依托</w:t>
                  </w:r>
                  <w:r>
                    <w:rPr>
                      <w:rFonts w:hint="eastAsia" w:ascii="宋体" w:hAnsi="宋体" w:eastAsia="宋体" w:cs="宋体"/>
                      <w:color w:val="auto"/>
                      <w:kern w:val="0"/>
                      <w:sz w:val="21"/>
                      <w:szCs w:val="21"/>
                      <w:lang w:val="en-US" w:eastAsia="en-US" w:bidi="ar-SA"/>
                    </w:rPr>
                    <w:t>巴陵石化企业自建污水处理</w:t>
                  </w:r>
                  <w:r>
                    <w:rPr>
                      <w:rFonts w:hint="eastAsia" w:ascii="宋体" w:hAnsi="宋体" w:eastAsia="宋体" w:cs="宋体"/>
                      <w:color w:val="auto"/>
                      <w:kern w:val="0"/>
                      <w:sz w:val="21"/>
                      <w:szCs w:val="21"/>
                      <w:lang w:val="en-US" w:eastAsia="zh-CN" w:bidi="ar-SA"/>
                    </w:rPr>
                    <w:t>厂</w:t>
                  </w:r>
                </w:p>
              </w:tc>
              <w:tc>
                <w:tcPr>
                  <w:tcW w:w="13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lang w:eastAsia="zh-CN"/>
                    </w:rPr>
                    <w:t>与环评要求一致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vMerge w:val="continue"/>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p>
              </w:tc>
              <w:tc>
                <w:tcPr>
                  <w:tcW w:w="662"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rPr>
                    <w:t>噪声</w:t>
                  </w:r>
                </w:p>
              </w:tc>
              <w:tc>
                <w:tcPr>
                  <w:tcW w:w="2572"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rPr>
                    <w:t>通过选用低噪声设备、基础减振、安装隔声罩、厂房隔声等措施，再经距离衰减</w:t>
                  </w:r>
                  <w:r>
                    <w:rPr>
                      <w:rFonts w:hint="eastAsia" w:ascii="宋体" w:hAnsi="宋体" w:eastAsia="宋体" w:cs="宋体"/>
                      <w:color w:val="auto"/>
                      <w:sz w:val="21"/>
                      <w:szCs w:val="21"/>
                      <w:lang w:eastAsia="zh-CN"/>
                    </w:rPr>
                    <w:t>。</w:t>
                  </w:r>
                </w:p>
              </w:tc>
              <w:tc>
                <w:tcPr>
                  <w:tcW w:w="1394" w:type="pct"/>
                  <w:tcBorders>
                    <w:tl2br w:val="nil"/>
                    <w:tr2bl w:val="nil"/>
                  </w:tcBorders>
                  <w:vAlign w:val="center"/>
                </w:tcPr>
                <w:p>
                  <w:pPr>
                    <w:keepNext w:val="0"/>
                    <w:keepLines w:val="0"/>
                    <w:pageBreakBefore w:val="0"/>
                    <w:widowControl/>
                    <w:kinsoku/>
                    <w:wordWrap/>
                    <w:overflowPunct/>
                    <w:topLinePunct w:val="0"/>
                    <w:autoSpaceDN w:val="0"/>
                    <w:bidi w:val="0"/>
                    <w:adjustRightInd w:val="0"/>
                    <w:snapToGrid w:val="0"/>
                    <w:spacing w:line="24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与环评要求一致</w:t>
                  </w:r>
                </w:p>
              </w:tc>
            </w:tr>
          </w:tbl>
          <w:p>
            <w:pPr>
              <w:spacing w:line="360" w:lineRule="auto"/>
              <w:ind w:firstLine="480" w:firstLineChars="200"/>
              <w:rPr>
                <w:rFonts w:hint="default" w:ascii="Times New Roman" w:hAnsi="Times New Roman" w:eastAsia="宋体" w:cs="Times New Roman"/>
                <w:color w:val="auto"/>
                <w:kern w:val="2"/>
                <w:sz w:val="24"/>
                <w:szCs w:val="24"/>
                <w:lang w:val="en-US" w:eastAsia="zh-CN" w:bidi="ar"/>
              </w:rPr>
            </w:pPr>
            <w:r>
              <w:rPr>
                <w:rFonts w:hint="default" w:ascii="Times New Roman" w:hAnsi="Times New Roman" w:eastAsia="宋体" w:cs="Times New Roman"/>
                <w:color w:val="auto"/>
                <w:kern w:val="2"/>
                <w:sz w:val="24"/>
                <w:szCs w:val="24"/>
                <w:lang w:eastAsia="zh-CN" w:bidi="ar"/>
              </w:rPr>
              <w:t>本项目总投资为</w:t>
            </w:r>
            <w:r>
              <w:rPr>
                <w:rFonts w:hint="default" w:ascii="Times New Roman" w:hAnsi="Times New Roman" w:eastAsia="宋体" w:cs="Times New Roman"/>
                <w:color w:val="auto"/>
                <w:sz w:val="24"/>
                <w:szCs w:val="24"/>
                <w:lang w:eastAsia="zh-CN"/>
              </w:rPr>
              <w:t>1714.87</w:t>
            </w:r>
            <w:r>
              <w:rPr>
                <w:rFonts w:hint="default" w:ascii="Times New Roman" w:hAnsi="Times New Roman" w:eastAsia="宋体" w:cs="Times New Roman"/>
                <w:color w:val="auto"/>
                <w:kern w:val="2"/>
                <w:sz w:val="24"/>
                <w:szCs w:val="24"/>
                <w:lang w:eastAsia="zh-CN" w:bidi="ar"/>
              </w:rPr>
              <w:t>万元，其中环保投资</w:t>
            </w:r>
            <w:r>
              <w:rPr>
                <w:rFonts w:hint="default" w:ascii="Times New Roman" w:hAnsi="Times New Roman" w:eastAsia="宋体" w:cs="Times New Roman"/>
                <w:color w:val="auto"/>
                <w:kern w:val="2"/>
                <w:sz w:val="24"/>
                <w:szCs w:val="24"/>
                <w:lang w:val="en-US" w:eastAsia="zh-CN" w:bidi="ar"/>
              </w:rPr>
              <w:t>75</w:t>
            </w:r>
            <w:r>
              <w:rPr>
                <w:rFonts w:hint="default" w:ascii="Times New Roman" w:hAnsi="Times New Roman" w:eastAsia="宋体" w:cs="Times New Roman"/>
                <w:color w:val="auto"/>
                <w:kern w:val="2"/>
                <w:sz w:val="24"/>
                <w:szCs w:val="24"/>
                <w:lang w:eastAsia="zh-CN" w:bidi="ar"/>
              </w:rPr>
              <w:t>万元，占总投资</w:t>
            </w:r>
            <w:r>
              <w:rPr>
                <w:rFonts w:hint="default" w:ascii="Times New Roman" w:hAnsi="Times New Roman" w:eastAsia="宋体" w:cs="Times New Roman"/>
                <w:color w:val="auto"/>
                <w:kern w:val="2"/>
                <w:sz w:val="24"/>
                <w:szCs w:val="24"/>
                <w:lang w:val="en-US" w:eastAsia="zh-CN" w:bidi="ar"/>
              </w:rPr>
              <w:t>的4.37%。</w:t>
            </w:r>
            <w:r>
              <w:rPr>
                <w:rFonts w:hint="default" w:ascii="Times New Roman" w:hAnsi="Times New Roman" w:eastAsia="宋体" w:cs="Times New Roman"/>
                <w:bCs/>
                <w:snapToGrid w:val="0"/>
                <w:color w:val="auto"/>
                <w:kern w:val="0"/>
                <w:sz w:val="24"/>
                <w:szCs w:val="24"/>
              </w:rPr>
              <w:t>本</w:t>
            </w:r>
            <w:r>
              <w:rPr>
                <w:rFonts w:hint="default" w:ascii="Times New Roman" w:hAnsi="Times New Roman" w:eastAsia="宋体" w:cs="Times New Roman"/>
                <w:color w:val="auto"/>
                <w:kern w:val="2"/>
                <w:sz w:val="24"/>
                <w:szCs w:val="24"/>
                <w:lang w:eastAsia="zh-CN" w:bidi="ar"/>
              </w:rPr>
              <w:t>项目主要建设内容见表</w:t>
            </w:r>
            <w:r>
              <w:rPr>
                <w:rFonts w:hint="default" w:ascii="Times New Roman" w:hAnsi="Times New Roman" w:eastAsia="宋体" w:cs="Times New Roman"/>
                <w:color w:val="auto"/>
                <w:kern w:val="2"/>
                <w:sz w:val="24"/>
                <w:szCs w:val="24"/>
                <w:lang w:val="en-US" w:eastAsia="zh-CN" w:bidi="ar"/>
              </w:rPr>
              <w:t>5。</w:t>
            </w:r>
          </w:p>
          <w:p>
            <w:pPr>
              <w:spacing w:line="360" w:lineRule="auto"/>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表5  项目主要设备一览表</w:t>
            </w:r>
          </w:p>
          <w:tbl>
            <w:tblPr>
              <w:tblStyle w:val="16"/>
              <w:tblW w:w="888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437"/>
              <w:gridCol w:w="1068"/>
              <w:gridCol w:w="706"/>
              <w:gridCol w:w="3981"/>
              <w:gridCol w:w="26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3" w:hRule="atLeast"/>
                <w:tblHeader/>
                <w:jc w:val="center"/>
              </w:trPr>
              <w:tc>
                <w:tcPr>
                  <w:tcW w:w="437"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序号</w:t>
                  </w:r>
                </w:p>
              </w:tc>
              <w:tc>
                <w:tcPr>
                  <w:tcW w:w="1068"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设备名称</w:t>
                  </w:r>
                </w:p>
              </w:tc>
              <w:tc>
                <w:tcPr>
                  <w:tcW w:w="706"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数量</w:t>
                  </w:r>
                </w:p>
              </w:tc>
              <w:tc>
                <w:tcPr>
                  <w:tcW w:w="3981"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主要内容</w:t>
                  </w:r>
                </w:p>
              </w:tc>
              <w:tc>
                <w:tcPr>
                  <w:tcW w:w="2695" w:type="dxa"/>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kern w:val="0"/>
                      <w:sz w:val="21"/>
                      <w:szCs w:val="21"/>
                      <w:lang w:eastAsia="zh-CN"/>
                    </w:rPr>
                    <w:t>实际内容与环评对比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热氧化炉</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1套</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新增，规格Φ2100×13900mm，含热氧化炉和废气预热器，卧式圆筒型，停留时间~1.4s，温度≥900℃</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lang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外管</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1套</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新增2.0km长废气收集管线</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lang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废气缓冲罐</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2套</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TSG R0004-2009固定式压力容器，设计压力0.35MPa，设计温度120摄氏度</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lang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脱硫塔</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lang w:val="en-US" w:eastAsia="en-US" w:bidi="ar-SA"/>
                    </w:rPr>
                    <w:t>1座</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含四级喷淋装置形成的高密度喷淋洗涤反应区和吸收反应区；内置一级脱水除雾装置</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403" w:hRule="atLeast"/>
                <w:jc w:val="center"/>
              </w:trPr>
              <w:tc>
                <w:tcPr>
                  <w:tcW w:w="4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p>
              </w:tc>
              <w:tc>
                <w:tcPr>
                  <w:tcW w:w="1068"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排气筒</w:t>
                  </w:r>
                </w:p>
              </w:tc>
              <w:tc>
                <w:tcPr>
                  <w:tcW w:w="706"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1座</w:t>
                  </w:r>
                </w:p>
              </w:tc>
              <w:tc>
                <w:tcPr>
                  <w:tcW w:w="3981"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Φ700mm，H=30m</w:t>
                  </w:r>
                </w:p>
              </w:tc>
              <w:tc>
                <w:tcPr>
                  <w:tcW w:w="2695"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lang w:eastAsia="zh-CN"/>
                    </w:rPr>
                    <w:t>与环评一致</w:t>
                  </w:r>
                </w:p>
              </w:tc>
            </w:tr>
          </w:tbl>
          <w:p>
            <w:pPr>
              <w:pStyle w:val="9"/>
              <w:ind w:firstLine="480" w:firstLineChars="200"/>
              <w:rPr>
                <w:rFonts w:hint="eastAsia" w:ascii="宋体" w:hAnsi="宋体" w:eastAsia="宋体" w:cs="宋体"/>
                <w:color w:val="auto"/>
                <w:kern w:val="2"/>
                <w:sz w:val="24"/>
                <w:szCs w:val="24"/>
                <w:lang w:val="en-US" w:eastAsia="zh-CN" w:bidi="ar"/>
              </w:rPr>
            </w:pPr>
            <w:r>
              <w:rPr>
                <w:rFonts w:hint="eastAsia" w:ascii="宋体" w:hAnsi="宋体" w:eastAsia="宋体" w:cs="宋体"/>
                <w:color w:val="auto"/>
                <w:kern w:val="2"/>
                <w:sz w:val="24"/>
                <w:szCs w:val="24"/>
                <w:lang w:eastAsia="zh-CN" w:bidi="ar"/>
              </w:rPr>
              <w:t>本次竣工验收范围：</w:t>
            </w:r>
            <w:r>
              <w:rPr>
                <w:rFonts w:hint="eastAsia" w:ascii="宋体" w:hAnsi="宋体" w:eastAsia="宋体" w:cs="宋体"/>
                <w:color w:val="auto"/>
                <w:kern w:val="2"/>
                <w:sz w:val="24"/>
                <w:szCs w:val="24"/>
                <w:lang w:val="en-US" w:eastAsia="zh-CN" w:bidi="ar"/>
              </w:rPr>
              <w:t>VOCs治理项目的主体废气处理系统及其配套设施。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原辅材料消耗及水平衡：</w:t>
            </w:r>
          </w:p>
          <w:p>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本项目收集炼油事业部污水预处理工段、苯乙烯中间罐区、装卸站台、原油区脱水井、中间罐区轻质油罐组等装置的无组织有机废气，该部分废气浓度有限，无法直接进行燃烧，本项目使用炼油事业部其他生产工段催化干气作为可燃气体通过混合燃烧处理收集的VOCs气体，同时使氢氧化钠作为燃烧尾气脱硫剂脱硫。其涉及用量及监测期实际用量见下表。</w:t>
            </w:r>
          </w:p>
          <w:p>
            <w:pPr>
              <w:spacing w:line="360" w:lineRule="auto"/>
              <w:jc w:val="center"/>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表6  项目原辅料消耗情况表</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174"/>
              <w:gridCol w:w="1435"/>
              <w:gridCol w:w="2346"/>
              <w:gridCol w:w="30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7" w:type="pct"/>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序号</w:t>
                  </w:r>
                </w:p>
              </w:tc>
              <w:tc>
                <w:tcPr>
                  <w:tcW w:w="677" w:type="pct"/>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物料名称</w:t>
                  </w:r>
                </w:p>
              </w:tc>
              <w:tc>
                <w:tcPr>
                  <w:tcW w:w="827" w:type="pct"/>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额定用量</w:t>
                  </w:r>
                </w:p>
              </w:tc>
              <w:tc>
                <w:tcPr>
                  <w:tcW w:w="1352" w:type="pct"/>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jc w:val="both"/>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kern w:val="0"/>
                      <w:sz w:val="21"/>
                      <w:szCs w:val="21"/>
                      <w:u w:val="none"/>
                      <w:lang w:val="en-US" w:eastAsia="zh-CN"/>
                    </w:rPr>
                    <w:t>监测期间实际消耗量</w:t>
                  </w:r>
                </w:p>
              </w:tc>
              <w:tc>
                <w:tcPr>
                  <w:tcW w:w="1734" w:type="pct"/>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7" w:type="pct"/>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67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燃料气</w:t>
                  </w:r>
                </w:p>
              </w:tc>
              <w:tc>
                <w:tcPr>
                  <w:tcW w:w="82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183.6 </w:t>
                  </w:r>
                  <w:r>
                    <w:rPr>
                      <w:rFonts w:hint="eastAsia" w:ascii="宋体" w:hAnsi="宋体" w:eastAsia="宋体" w:cs="宋体"/>
                      <w:color w:val="auto"/>
                      <w:kern w:val="0"/>
                      <w:sz w:val="21"/>
                      <w:szCs w:val="21"/>
                      <w:lang w:val="en-US" w:eastAsia="zh-CN" w:bidi="ar-SA"/>
                    </w:rPr>
                    <w:t>Nm</w:t>
                  </w:r>
                  <w:r>
                    <w:rPr>
                      <w:rFonts w:hint="eastAsia" w:ascii="宋体" w:hAnsi="宋体" w:eastAsia="宋体" w:cs="宋体"/>
                      <w:color w:val="auto"/>
                      <w:kern w:val="0"/>
                      <w:sz w:val="21"/>
                      <w:szCs w:val="21"/>
                      <w:vertAlign w:val="superscript"/>
                      <w:lang w:val="en-US" w:eastAsia="zh-CN" w:bidi="ar-SA"/>
                    </w:rPr>
                    <w:t>3</w:t>
                  </w:r>
                  <w:r>
                    <w:rPr>
                      <w:rFonts w:hint="eastAsia" w:ascii="宋体" w:hAnsi="宋体" w:eastAsia="宋体" w:cs="宋体"/>
                      <w:color w:val="auto"/>
                      <w:kern w:val="0"/>
                      <w:sz w:val="21"/>
                      <w:szCs w:val="21"/>
                      <w:lang w:val="en-US" w:eastAsia="zh-CN" w:bidi="ar-SA"/>
                    </w:rPr>
                    <w:t>/h</w:t>
                  </w:r>
                </w:p>
              </w:tc>
              <w:tc>
                <w:tcPr>
                  <w:tcW w:w="135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124.3 </w:t>
                  </w:r>
                  <w:r>
                    <w:rPr>
                      <w:rFonts w:hint="eastAsia" w:ascii="宋体" w:hAnsi="宋体" w:eastAsia="宋体" w:cs="宋体"/>
                      <w:color w:val="auto"/>
                      <w:kern w:val="0"/>
                      <w:sz w:val="21"/>
                      <w:szCs w:val="21"/>
                      <w:lang w:val="en-US" w:eastAsia="zh-CN" w:bidi="ar-SA"/>
                    </w:rPr>
                    <w:t>Nm</w:t>
                  </w:r>
                  <w:r>
                    <w:rPr>
                      <w:rFonts w:hint="eastAsia" w:ascii="宋体" w:hAnsi="宋体" w:eastAsia="宋体" w:cs="宋体"/>
                      <w:color w:val="auto"/>
                      <w:kern w:val="0"/>
                      <w:sz w:val="21"/>
                      <w:szCs w:val="21"/>
                      <w:vertAlign w:val="superscript"/>
                      <w:lang w:val="en-US" w:eastAsia="zh-CN" w:bidi="ar-SA"/>
                    </w:rPr>
                    <w:t>3</w:t>
                  </w:r>
                  <w:r>
                    <w:rPr>
                      <w:rFonts w:hint="eastAsia" w:ascii="宋体" w:hAnsi="宋体" w:eastAsia="宋体" w:cs="宋体"/>
                      <w:color w:val="auto"/>
                      <w:kern w:val="0"/>
                      <w:sz w:val="21"/>
                      <w:szCs w:val="21"/>
                      <w:lang w:val="en-US" w:eastAsia="zh-CN" w:bidi="ar-SA"/>
                    </w:rPr>
                    <w:t>/h</w:t>
                  </w:r>
                </w:p>
              </w:tc>
              <w:tc>
                <w:tcPr>
                  <w:tcW w:w="1734" w:type="pct"/>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燃料气为催化干气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7" w:type="pct"/>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67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脱硫剂</w:t>
                  </w:r>
                </w:p>
              </w:tc>
              <w:tc>
                <w:tcPr>
                  <w:tcW w:w="82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30 </w:t>
                  </w:r>
                  <w:r>
                    <w:rPr>
                      <w:rFonts w:hint="eastAsia" w:ascii="宋体" w:hAnsi="宋体" w:eastAsia="宋体" w:cs="宋体"/>
                      <w:color w:val="auto"/>
                      <w:kern w:val="0"/>
                      <w:sz w:val="21"/>
                      <w:szCs w:val="21"/>
                      <w:lang w:val="en-US" w:eastAsia="zh-CN" w:bidi="ar-SA"/>
                    </w:rPr>
                    <w:t>kg/h</w:t>
                  </w:r>
                </w:p>
              </w:tc>
              <w:tc>
                <w:tcPr>
                  <w:tcW w:w="135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10 </w:t>
                  </w:r>
                  <w:r>
                    <w:rPr>
                      <w:rFonts w:hint="eastAsia" w:ascii="宋体" w:hAnsi="宋体" w:eastAsia="宋体" w:cs="宋体"/>
                      <w:color w:val="auto"/>
                      <w:kern w:val="0"/>
                      <w:sz w:val="21"/>
                      <w:szCs w:val="21"/>
                      <w:lang w:val="en-US" w:eastAsia="zh-CN" w:bidi="ar-SA"/>
                    </w:rPr>
                    <w:t>kg/h</w:t>
                  </w:r>
                </w:p>
              </w:tc>
              <w:tc>
                <w:tcPr>
                  <w:tcW w:w="1734" w:type="pct"/>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脱硫剂为30%氢氧化钠溶液</w:t>
                  </w:r>
                </w:p>
              </w:tc>
            </w:tr>
          </w:tbl>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水平衡:</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本项目项目验收监测期间未进行烟气预热冲洗，根据炼油事业部安环科日常估算，本项目水平衡见下图：</w:t>
            </w:r>
          </w:p>
          <w:p>
            <w:pPr>
              <w:rPr>
                <w:rFonts w:hint="default"/>
                <w:color w:val="auto"/>
                <w:lang w:val="en-US" w:eastAsia="zh-CN"/>
              </w:rPr>
            </w:pPr>
            <w:r>
              <w:rPr>
                <w:rFonts w:hint="default"/>
                <w:color w:val="auto"/>
                <w:lang w:val="en-US" w:eastAsia="zh-CN"/>
              </w:rPr>
              <w:drawing>
                <wp:inline distT="0" distB="0" distL="114300" distR="114300">
                  <wp:extent cx="5485130" cy="1435100"/>
                  <wp:effectExtent l="0" t="0" r="1270" b="12700"/>
                  <wp:docPr id="7" name="图片 7" descr="1606213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06213275"/>
                          <pic:cNvPicPr>
                            <a:picLocks noChangeAspect="1"/>
                          </pic:cNvPicPr>
                        </pic:nvPicPr>
                        <pic:blipFill>
                          <a:blip r:embed="rId11"/>
                          <a:stretch>
                            <a:fillRect/>
                          </a:stretch>
                        </pic:blipFill>
                        <pic:spPr>
                          <a:xfrm>
                            <a:off x="0" y="0"/>
                            <a:ext cx="5485130" cy="1435100"/>
                          </a:xfrm>
                          <a:prstGeom prst="rect">
                            <a:avLst/>
                          </a:prstGeom>
                        </pic:spPr>
                      </pic:pic>
                    </a:graphicData>
                  </a:graphic>
                </wp:inline>
              </w:drawing>
            </w:r>
          </w:p>
          <w:p>
            <w:pPr>
              <w:pStyle w:val="2"/>
              <w:spacing w:before="8" w:line="220" w:lineRule="auto"/>
              <w:ind w:right="157" w:firstLine="410"/>
              <w:jc w:val="center"/>
              <w:rPr>
                <w:rFonts w:hint="default" w:ascii="Times New Roman" w:hAnsi="Times New Roman" w:eastAsia="宋体" w:cs="Times New Roman"/>
                <w:color w:val="auto"/>
                <w:sz w:val="24"/>
                <w:szCs w:val="24"/>
                <w:lang w:val="en-US" w:eastAsia="zh-CN"/>
              </w:rPr>
            </w:pPr>
            <w:r>
              <w:rPr>
                <w:rFonts w:hint="eastAsia" w:ascii="宋体" w:hAnsi="宋体" w:eastAsia="宋体" w:cs="宋体"/>
                <w:b/>
                <w:bCs/>
                <w:color w:val="auto"/>
                <w:spacing w:val="-3"/>
                <w:sz w:val="21"/>
                <w:szCs w:val="21"/>
                <w:lang w:val="en-US" w:eastAsia="zh-CN"/>
              </w:rPr>
              <w:t>图1  项目厂区水平衡示意图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主要工艺流程及产污环节：</w:t>
            </w:r>
          </w:p>
          <w:p>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为治理污水预处理厂、苯乙烯中间罐区、装卸站台、原油区脱水井、中间罐区轻质油罐组等装置和厂区产生的无组织VOCs废气，经处理工艺流程“烟气→热氧化炉燃烧系统→烟气脱硫系统→引风机→排气筒”废气处理装置处理后达标排放。</w:t>
            </w:r>
          </w:p>
          <w:p>
            <w:p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VOCs治理装置工艺流程见下图：</w:t>
            </w:r>
          </w:p>
          <w:p>
            <w:pPr>
              <w:pStyle w:val="19"/>
              <w:rPr>
                <w:rFonts w:hint="eastAsia" w:ascii="宋体" w:hAnsi="宋体" w:eastAsia="宋体" w:cs="宋体"/>
                <w:color w:val="auto"/>
                <w:sz w:val="24"/>
                <w:szCs w:val="24"/>
                <w:lang w:val="en-US" w:eastAsia="zh-CN"/>
              </w:rPr>
            </w:pPr>
            <w:r>
              <w:rPr>
                <w:sz w:val="24"/>
              </w:rPr>
              <mc:AlternateContent>
                <mc:Choice Requires="wps">
                  <w:drawing>
                    <wp:anchor distT="0" distB="0" distL="114300" distR="114300" simplePos="0" relativeHeight="251701248" behindDoc="0" locked="0" layoutInCell="1" allowOverlap="1">
                      <wp:simplePos x="0" y="0"/>
                      <wp:positionH relativeFrom="column">
                        <wp:posOffset>5081905</wp:posOffset>
                      </wp:positionH>
                      <wp:positionV relativeFrom="paragraph">
                        <wp:posOffset>1978025</wp:posOffset>
                      </wp:positionV>
                      <wp:extent cx="438150" cy="209550"/>
                      <wp:effectExtent l="0" t="0" r="0" b="0"/>
                      <wp:wrapNone/>
                      <wp:docPr id="49" name="文本框 49"/>
                      <wp:cNvGraphicFramePr/>
                      <a:graphic xmlns:a="http://schemas.openxmlformats.org/drawingml/2006/main">
                        <a:graphicData uri="http://schemas.microsoft.com/office/word/2010/wordprocessingShape">
                          <wps:wsp>
                            <wps:cNvSpPr txBox="1"/>
                            <wps:spPr>
                              <a:xfrm>
                                <a:off x="6033135" y="9255125"/>
                                <a:ext cx="438150" cy="2095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0.15pt;margin-top:155.75pt;height:16.5pt;width:34.5pt;z-index:251701248;mso-width-relative:page;mso-height-relative:page;" fillcolor="#FFFFFF [3201]" filled="t" stroked="f" coordsize="21600,21600" o:gfxdata="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HGP6zLV&#10;AAAACwEAAA8AAAAAAAAAAQAgAAAAIgAAAGRycy9kb3ducmV2LnhtbFBLAQIUABQAAAAIAIdO4kB2&#10;DGYxXAIAAJwEAAAOAAAAAAAAAAEAIAAAACQBAABkcnMvZTJvRG9jLnhtbFBLBQYAAAAABgAGAFkB&#10;AADyBQAAAAA=&#10;">
                      <v:fill on="t" focussize="0,0"/>
                      <v:stroke on="f" weight="0.5pt"/>
                      <v:imagedata o:title=""/>
                      <o:lock v:ext="edit" aspectratio="f"/>
                      <v:textbox>
                        <w:txbxContent>
                          <w:p/>
                        </w:txbxContent>
                      </v:textbox>
                    </v:shape>
                  </w:pict>
                </mc:Fallback>
              </mc:AlternateContent>
            </w:r>
            <w:r>
              <w:drawing>
                <wp:inline distT="0" distB="0" distL="114300" distR="114300">
                  <wp:extent cx="5314950" cy="2037080"/>
                  <wp:effectExtent l="0" t="0" r="0" b="1270"/>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12"/>
                          <a:stretch>
                            <a:fillRect/>
                          </a:stretch>
                        </pic:blipFill>
                        <pic:spPr>
                          <a:xfrm>
                            <a:off x="0" y="0"/>
                            <a:ext cx="5314950" cy="2037080"/>
                          </a:xfrm>
                          <a:prstGeom prst="rect">
                            <a:avLst/>
                          </a:prstGeom>
                          <a:noFill/>
                          <a:ln>
                            <a:noFill/>
                          </a:ln>
                        </pic:spPr>
                      </pic:pic>
                    </a:graphicData>
                  </a:graphic>
                </wp:inline>
              </w:drawing>
            </w:r>
          </w:p>
          <w:p>
            <w:pPr>
              <w:pStyle w:val="2"/>
              <w:spacing w:before="8" w:line="220" w:lineRule="auto"/>
              <w:ind w:right="157"/>
              <w:jc w:val="center"/>
              <w:rPr>
                <w:rFonts w:hint="eastAsia" w:ascii="宋体" w:hAnsi="宋体" w:eastAsia="宋体" w:cs="宋体"/>
                <w:b/>
                <w:bCs/>
                <w:color w:val="auto"/>
                <w:spacing w:val="-3"/>
                <w:sz w:val="21"/>
                <w:szCs w:val="21"/>
                <w:lang w:val="en-US" w:eastAsia="zh-CN"/>
              </w:rPr>
            </w:pPr>
            <w:r>
              <w:rPr>
                <w:rFonts w:hint="eastAsia" w:ascii="宋体" w:hAnsi="宋体" w:eastAsia="宋体" w:cs="宋体"/>
                <w:b/>
                <w:bCs/>
                <w:color w:val="auto"/>
                <w:spacing w:val="-3"/>
                <w:sz w:val="21"/>
                <w:szCs w:val="21"/>
                <w:lang w:val="en-US" w:eastAsia="zh-CN"/>
              </w:rPr>
              <w:t>图2  本项目VOCs治理装置工艺流程示意图</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主要工艺说明：</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处理工艺流程采用“烟气→热氧化炉燃烧系统→烟气脱硫系统→引风机→排气筒”</w:t>
            </w:r>
          </w:p>
          <w:p>
            <w:pPr>
              <w:keepNext w:val="0"/>
              <w:keepLines w:val="0"/>
              <w:pageBreakBefore w:val="0"/>
              <w:widowControl w:val="0"/>
              <w:numPr>
                <w:ilvl w:val="0"/>
                <w:numId w:val="1"/>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废气收集</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项目对原无组织排放原进行加盖、导流等方式进行收集，项目设置2根收集管路，1路DN500的废气管线主要收集污水处理站逸散废气，另一路DN150的废气管线主要收集罐区以及装卸平台上下货逸散废气。</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 热氧化炉燃烧</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因从上游收集来的待处理有机</w:t>
            </w:r>
            <w:r>
              <w:rPr>
                <w:rFonts w:hint="eastAsia" w:ascii="宋体" w:hAnsi="宋体" w:eastAsia="宋体" w:cs="宋体"/>
                <w:color w:val="auto"/>
                <w:sz w:val="24"/>
                <w:szCs w:val="24"/>
                <w:lang w:val="en-US" w:eastAsia="zh-CN"/>
              </w:rPr>
              <w:t>废气浓度有限，无法直接进行燃烧，故本项目使用炼油事业部其他生产工段催化干气作为可燃气体通过混合燃烧在热氧化炉内处理收集的VOCs气体。</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 脱硫塔脱硫</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180℃烟气由引风机鼓入脱硫塔内，烟气由脱硫塔中下部均匀上升(流速1.44m/s)，依次穿过四级喷淋装置形成的高密度喷淋洗涤反应区和吸收反应区，脱硫液通过螺旋喷嘴生成极细的雾滴为烟气与脱硫液的充分混合提供了大的接触面积，使得气液两相进行充分的传质和传热的物理化学反应，在雾滴降落过程中吸收SO</w:t>
            </w:r>
            <w:r>
              <w:rPr>
                <w:rFonts w:hint="eastAsia" w:ascii="宋体" w:hAnsi="宋体" w:eastAsia="宋体" w:cs="宋体"/>
                <w:color w:val="auto"/>
                <w:kern w:val="0"/>
                <w:sz w:val="24"/>
                <w:szCs w:val="24"/>
                <w:vertAlign w:val="subscript"/>
                <w:lang w:val="en-US" w:eastAsia="zh-CN" w:bidi="ar-SA"/>
              </w:rPr>
              <w:t>2</w:t>
            </w:r>
            <w:r>
              <w:rPr>
                <w:rFonts w:hint="eastAsia" w:ascii="宋体" w:hAnsi="宋体" w:eastAsia="宋体" w:cs="宋体"/>
                <w:color w:val="auto"/>
                <w:kern w:val="0"/>
                <w:sz w:val="24"/>
                <w:szCs w:val="24"/>
                <w:lang w:val="en-US" w:eastAsia="zh-CN" w:bidi="ar-SA"/>
              </w:rPr>
              <w:t>并捕润尘粒，从而达到SO</w:t>
            </w:r>
            <w:r>
              <w:rPr>
                <w:rFonts w:hint="eastAsia" w:ascii="宋体" w:hAnsi="宋体" w:eastAsia="宋体" w:cs="宋体"/>
                <w:color w:val="auto"/>
                <w:kern w:val="0"/>
                <w:sz w:val="24"/>
                <w:szCs w:val="24"/>
                <w:vertAlign w:val="subscript"/>
                <w:lang w:val="en-US" w:eastAsia="zh-CN" w:bidi="ar-SA"/>
              </w:rPr>
              <w:t>2</w:t>
            </w:r>
            <w:r>
              <w:rPr>
                <w:rFonts w:hint="eastAsia" w:ascii="宋体" w:hAnsi="宋体" w:eastAsia="宋体" w:cs="宋体"/>
                <w:color w:val="auto"/>
                <w:kern w:val="0"/>
                <w:sz w:val="24"/>
                <w:szCs w:val="24"/>
                <w:lang w:val="en-US" w:eastAsia="zh-CN" w:bidi="ar-SA"/>
              </w:rPr>
              <w:t>的高效脱除，湿润的尘粒向下流入脱硫塔底部。脱硫塔内置有一级脱水除雾装置，经过脱硫后的烟气继续上升，经过折板除雾装置，通过雾气、小液滴在折板处的多次撞击形成较大液滴，大液滴与烟气分离后下落，脱水后的烟气通过筒体上部锥体部分直排，完成整个脱硫程序。</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 废气排放</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烟气与脱硫循环溶液(氢氧化钠和亚硫酸钠混合溶液)逆流接触，脱除烟气中的- 二氧化硫，达标排放的烟气经过烟气再热器温度由~58℃升至~220℃,经过30m排气筒排入大气。</w:t>
            </w:r>
          </w:p>
          <w:p>
            <w:pPr>
              <w:pStyle w:val="2"/>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eastAsia="宋体" w:cs="宋体"/>
                <w:color w:val="auto"/>
                <w:lang w:val="en-US" w:eastAsia="zh-CN"/>
              </w:rPr>
            </w:pPr>
          </w:p>
          <w:p>
            <w:pPr>
              <w:pStyle w:val="3"/>
              <w:rPr>
                <w:rFonts w:hint="eastAsia"/>
                <w:color w:val="auto"/>
                <w:lang w:eastAsia="zh-CN"/>
              </w:rPr>
            </w:pPr>
          </w:p>
          <w:p>
            <w:pPr>
              <w:pStyle w:val="3"/>
              <w:jc w:val="both"/>
              <w:rPr>
                <w:rFonts w:hint="eastAsia"/>
                <w:color w:val="auto"/>
                <w:lang w:eastAsia="zh-CN"/>
              </w:rPr>
            </w:pPr>
          </w:p>
        </w:tc>
      </w:tr>
    </w:tbl>
    <w:p>
      <w:pPr>
        <w:pStyle w:val="2"/>
        <w:rPr>
          <w:lang w:eastAsia="zh-CN"/>
        </w:rPr>
      </w:pPr>
      <w:r>
        <w:rPr>
          <w:lang w:eastAsia="zh-CN"/>
        </w:rPr>
        <w:br w:type="page"/>
      </w:r>
    </w:p>
    <w:p>
      <w:pPr>
        <w:pStyle w:val="2"/>
        <w:spacing w:before="8" w:line="220" w:lineRule="auto"/>
        <w:ind w:right="157"/>
        <w:jc w:val="both"/>
        <w:rPr>
          <w:rFonts w:ascii="Times New Roman" w:hAnsi="Times New Roman" w:eastAsia="宋体" w:cs="Times New Roman"/>
          <w:b/>
          <w:lang w:eastAsia="zh-CN"/>
        </w:rPr>
      </w:pPr>
      <w:r>
        <w:rPr>
          <w:rFonts w:ascii="Times New Roman" w:hAnsi="Times New Roman" w:eastAsia="宋体" w:cs="Times New Roman"/>
          <w:b/>
          <w:lang w:eastAsia="zh-CN"/>
        </w:rPr>
        <w:t>表三</w:t>
      </w:r>
    </w:p>
    <w:tbl>
      <w:tblPr>
        <w:tblStyle w:val="16"/>
        <w:tblW w:w="52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5" w:hRule="atLeast"/>
          <w:jc w:val="center"/>
        </w:trPr>
        <w:tc>
          <w:tcPr>
            <w:tcW w:w="5000" w:type="pct"/>
          </w:tcPr>
          <w:p>
            <w:pPr>
              <w:keepNext w:val="0"/>
              <w:keepLines w:val="0"/>
              <w:pageBreakBefore w:val="0"/>
              <w:widowControl w:val="0"/>
              <w:kinsoku/>
              <w:wordWrap/>
              <w:overflowPunct/>
              <w:topLinePunct w:val="0"/>
              <w:bidi w:val="0"/>
              <w:adjustRightInd/>
              <w:snapToGrid/>
              <w:spacing w:line="360" w:lineRule="auto"/>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主要污染源、污染物处理和排放：</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一、废水</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本项目废水来源</w:t>
            </w:r>
            <w:r>
              <w:rPr>
                <w:rFonts w:hint="default"/>
                <w:sz w:val="24"/>
                <w:szCs w:val="24"/>
                <w:lang w:val="en-US" w:eastAsia="zh-CN"/>
              </w:rPr>
              <w:t>、防治措施、排放情况见下表：</w:t>
            </w:r>
            <w:r>
              <w:rPr>
                <w:rFonts w:hint="eastAsia"/>
                <w:sz w:val="24"/>
                <w:szCs w:val="24"/>
                <w:lang w:val="en-US" w:eastAsia="zh-CN"/>
              </w:rPr>
              <w:t>本项目废水污染物因子含量较小，且不直接外排，对周边环境造成的影响较小。</w:t>
            </w:r>
          </w:p>
          <w:p>
            <w:pPr>
              <w:pStyle w:val="19"/>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表</w:t>
            </w:r>
            <w:r>
              <w:rPr>
                <w:rFonts w:hint="eastAsia" w:ascii="Times New Roman" w:hAnsi="Times New Roman" w:eastAsia="宋体" w:cs="Times New Roman"/>
                <w:b/>
                <w:bCs/>
                <w:color w:val="auto"/>
                <w:sz w:val="21"/>
                <w:szCs w:val="21"/>
                <w:lang w:val="en-US" w:eastAsia="zh-CN"/>
              </w:rPr>
              <w:t>7</w:t>
            </w:r>
            <w:r>
              <w:rPr>
                <w:rFonts w:hint="default" w:ascii="Times New Roman" w:hAnsi="Times New Roman" w:eastAsia="宋体" w:cs="Times New Roman"/>
                <w:b/>
                <w:bCs/>
                <w:color w:val="auto"/>
                <w:sz w:val="21"/>
                <w:szCs w:val="21"/>
              </w:rPr>
              <w:t xml:space="preserve"> </w:t>
            </w:r>
            <w:r>
              <w:rPr>
                <w:rFonts w:hint="default" w:ascii="Times New Roman" w:hAnsi="Times New Roman" w:eastAsia="宋体" w:cs="Times New Roman"/>
                <w:b/>
                <w:bCs/>
                <w:color w:val="auto"/>
                <w:sz w:val="21"/>
                <w:szCs w:val="21"/>
                <w:lang w:val="en-US" w:eastAsia="zh-CN"/>
              </w:rPr>
              <w:t xml:space="preserve">    </w:t>
            </w:r>
            <w:r>
              <w:rPr>
                <w:rFonts w:hint="default"/>
                <w:b/>
                <w:bCs/>
                <w:sz w:val="21"/>
                <w:szCs w:val="21"/>
                <w:lang w:val="en-US" w:eastAsia="zh-CN"/>
              </w:rPr>
              <w:t>项目</w:t>
            </w:r>
            <w:r>
              <w:rPr>
                <w:rFonts w:hint="eastAsia"/>
                <w:b/>
                <w:bCs/>
                <w:sz w:val="21"/>
                <w:szCs w:val="21"/>
                <w:lang w:val="en-US" w:eastAsia="zh-CN"/>
              </w:rPr>
              <w:t>废水</w:t>
            </w:r>
            <w:r>
              <w:rPr>
                <w:rFonts w:hint="default"/>
                <w:b/>
                <w:bCs/>
                <w:sz w:val="21"/>
                <w:szCs w:val="21"/>
                <w:lang w:val="en-US" w:eastAsia="zh-CN"/>
              </w:rPr>
              <w:t>产生</w:t>
            </w:r>
            <w:r>
              <w:rPr>
                <w:rFonts w:hint="eastAsia"/>
                <w:b/>
                <w:bCs/>
                <w:sz w:val="21"/>
                <w:szCs w:val="21"/>
                <w:lang w:val="en-US" w:eastAsia="zh-CN"/>
              </w:rPr>
              <w:t>来源</w:t>
            </w:r>
            <w:r>
              <w:rPr>
                <w:rFonts w:hint="default"/>
                <w:b/>
                <w:bCs/>
                <w:sz w:val="21"/>
                <w:szCs w:val="21"/>
                <w:lang w:val="en-US" w:eastAsia="zh-CN"/>
              </w:rPr>
              <w:t>、</w:t>
            </w:r>
            <w:r>
              <w:rPr>
                <w:rFonts w:hint="eastAsia"/>
                <w:b/>
                <w:bCs/>
                <w:sz w:val="21"/>
                <w:szCs w:val="21"/>
                <w:lang w:val="en-US" w:eastAsia="zh-CN"/>
              </w:rPr>
              <w:t>排放去向</w:t>
            </w:r>
            <w:r>
              <w:rPr>
                <w:rFonts w:hint="default"/>
                <w:b/>
                <w:bCs/>
                <w:sz w:val="21"/>
                <w:szCs w:val="21"/>
                <w:lang w:val="en-US" w:eastAsia="zh-CN"/>
              </w:rPr>
              <w:t>、排放方式一览表</w:t>
            </w:r>
          </w:p>
          <w:tbl>
            <w:tblPr>
              <w:tblStyle w:val="1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38"/>
              <w:gridCol w:w="1894"/>
              <w:gridCol w:w="2994"/>
              <w:gridCol w:w="14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1348" w:type="pct"/>
                  <w:tcBorders>
                    <w:tl2br w:val="nil"/>
                    <w:tr2bl w:val="nil"/>
                  </w:tcBorders>
                  <w:shd w:val="clear" w:color="auto" w:fill="BEBEBE" w:themeFill="background1" w:themeFillShade="BF"/>
                  <w:noWrap w:val="0"/>
                  <w:vAlign w:val="center"/>
                </w:tcPr>
                <w:p>
                  <w:pPr>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来源</w:t>
                  </w:r>
                </w:p>
              </w:tc>
              <w:tc>
                <w:tcPr>
                  <w:tcW w:w="1092" w:type="pct"/>
                  <w:tcBorders>
                    <w:tl2br w:val="nil"/>
                    <w:tr2bl w:val="nil"/>
                  </w:tcBorders>
                  <w:shd w:val="clear" w:color="auto" w:fill="BEBEBE" w:themeFill="background1" w:themeFillShade="BF"/>
                  <w:noWrap w:val="0"/>
                  <w:vAlign w:val="center"/>
                </w:tcPr>
                <w:p>
                  <w:pPr>
                    <w:jc w:val="cente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sz w:val="21"/>
                      <w:szCs w:val="21"/>
                      <w:lang w:val="en-US" w:eastAsia="zh-CN"/>
                    </w:rPr>
                    <w:t>主要污染因子</w:t>
                  </w:r>
                </w:p>
              </w:tc>
              <w:tc>
                <w:tcPr>
                  <w:tcW w:w="1726" w:type="pct"/>
                  <w:tcBorders>
                    <w:tl2br w:val="nil"/>
                    <w:tr2bl w:val="nil"/>
                  </w:tcBorders>
                  <w:shd w:val="clear" w:color="auto" w:fill="BEBEBE" w:themeFill="background1" w:themeFillShade="BF"/>
                  <w:noWrap w:val="0"/>
                  <w:vAlign w:val="center"/>
                </w:tcPr>
                <w:p>
                  <w:pPr>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排放去向</w:t>
                  </w:r>
                </w:p>
              </w:tc>
              <w:tc>
                <w:tcPr>
                  <w:tcW w:w="833" w:type="pct"/>
                  <w:tcBorders>
                    <w:tl2br w:val="nil"/>
                    <w:tr2bl w:val="nil"/>
                  </w:tcBorders>
                  <w:shd w:val="clear" w:color="auto" w:fill="BEBEBE" w:themeFill="background1" w:themeFillShade="BF"/>
                  <w:noWrap w:val="0"/>
                  <w:vAlign w:val="center"/>
                </w:tcPr>
                <w:p>
                  <w:pPr>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排放方式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1348" w:type="pct"/>
                  <w:tcBorders>
                    <w:tl2br w:val="nil"/>
                    <w:tr2bl w:val="nil"/>
                  </w:tcBorders>
                  <w:shd w:val="clear" w:color="auto" w:fill="auto"/>
                  <w:noWrap w:val="0"/>
                  <w:vAlign w:val="center"/>
                </w:tcPr>
                <w:p>
                  <w:pPr>
                    <w:pStyle w:val="4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脱硫塔含盐废水</w:t>
                  </w:r>
                </w:p>
              </w:tc>
              <w:tc>
                <w:tcPr>
                  <w:tcW w:w="1092" w:type="pct"/>
                  <w:tcBorders>
                    <w:tl2br w:val="nil"/>
                    <w:tr2bl w:val="nil"/>
                  </w:tcBorders>
                  <w:shd w:val="clear" w:color="auto" w:fill="auto"/>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lang w:val="en-US" w:eastAsia="zh-CN"/>
                    </w:rPr>
                    <w:t>pH、COD、硫化物、氨氮、SS、石油类、挥发酚</w:t>
                  </w:r>
                </w:p>
              </w:tc>
              <w:tc>
                <w:tcPr>
                  <w:tcW w:w="1726" w:type="pct"/>
                  <w:tcBorders>
                    <w:tl2br w:val="nil"/>
                    <w:tr2bl w:val="nil"/>
                  </w:tcBorders>
                  <w:shd w:val="clear" w:color="auto" w:fill="auto"/>
                  <w:noWrap w:val="0"/>
                  <w:vAlign w:val="center"/>
                </w:tcPr>
                <w:p>
                  <w:pPr>
                    <w:keepNext w:val="0"/>
                    <w:keepLines w:val="0"/>
                    <w:widowControl/>
                    <w:suppressLineNumbers w:val="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回用至炼油事业部的催化裂化烟气脱硫装置处。</w:t>
                  </w:r>
                </w:p>
              </w:tc>
              <w:tc>
                <w:tcPr>
                  <w:tcW w:w="833" w:type="pct"/>
                  <w:tcBorders>
                    <w:tl2br w:val="nil"/>
                    <w:tr2bl w:val="nil"/>
                  </w:tcBorders>
                  <w:shd w:val="clear" w:color="auto" w:fill="auto"/>
                  <w:noWrap w:val="0"/>
                  <w:vAlign w:val="center"/>
                </w:tcPr>
                <w:p>
                  <w:pPr>
                    <w:keepNext w:val="0"/>
                    <w:keepLines w:val="0"/>
                    <w:widowControl/>
                    <w:suppressLineNumbers w:val="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连续、间接排放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8" w:hRule="atLeast"/>
              </w:trPr>
              <w:tc>
                <w:tcPr>
                  <w:tcW w:w="1348" w:type="pct"/>
                  <w:tcBorders>
                    <w:tl2br w:val="nil"/>
                    <w:tr2bl w:val="nil"/>
                  </w:tcBorders>
                  <w:shd w:val="clear" w:color="auto" w:fill="auto"/>
                  <w:noWrap w:val="0"/>
                  <w:vAlign w:val="center"/>
                </w:tcPr>
                <w:p>
                  <w:pPr>
                    <w:pStyle w:val="4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烟气预热器冲洗废水</w:t>
                  </w:r>
                </w:p>
              </w:tc>
              <w:tc>
                <w:tcPr>
                  <w:tcW w:w="1092" w:type="pct"/>
                  <w:tcBorders>
                    <w:tl2br w:val="nil"/>
                    <w:tr2bl w:val="nil"/>
                  </w:tcBorders>
                  <w:shd w:val="clear" w:color="auto" w:fill="auto"/>
                  <w:noWrap w:val="0"/>
                  <w:vAlign w:val="center"/>
                </w:tcPr>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lang w:val="en-US" w:eastAsia="zh-CN"/>
                    </w:rPr>
                    <w:t>pH、COD、硫化物、氨氮、SS、石油类、挥发酚</w:t>
                  </w:r>
                </w:p>
              </w:tc>
              <w:tc>
                <w:tcPr>
                  <w:tcW w:w="1726" w:type="pct"/>
                  <w:tcBorders>
                    <w:tl2br w:val="nil"/>
                    <w:tr2bl w:val="nil"/>
                  </w:tcBorders>
                  <w:shd w:val="clear" w:color="auto" w:fill="auto"/>
                  <w:noWrap w:val="0"/>
                  <w:vAlign w:val="center"/>
                </w:tcPr>
                <w:p>
                  <w:pPr>
                    <w:keepNext w:val="0"/>
                    <w:keepLines w:val="0"/>
                    <w:widowControl/>
                    <w:suppressLineNumbers w:val="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回用至炼油事业部的催化裂化烟气脱硫装置处。</w:t>
                  </w:r>
                </w:p>
              </w:tc>
              <w:tc>
                <w:tcPr>
                  <w:tcW w:w="833" w:type="pct"/>
                  <w:tcBorders>
                    <w:tl2br w:val="nil"/>
                    <w:tr2bl w:val="nil"/>
                  </w:tcBorders>
                  <w:shd w:val="clear" w:color="auto" w:fill="auto"/>
                  <w:noWrap w:val="0"/>
                  <w:vAlign w:val="center"/>
                </w:tcPr>
                <w:p>
                  <w:pPr>
                    <w:keepNext w:val="0"/>
                    <w:keepLines w:val="0"/>
                    <w:widowControl/>
                    <w:suppressLineNumbers w:val="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间歇</w:t>
                  </w:r>
                </w:p>
                <w:p>
                  <w:pPr>
                    <w:keepNext w:val="0"/>
                    <w:keepLines w:val="0"/>
                    <w:widowControl/>
                    <w:suppressLineNumbers w:val="0"/>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2个月/次</w:t>
                  </w:r>
                  <w:r>
                    <w:rPr>
                      <w:rFonts w:hint="eastAsia" w:ascii="宋体" w:hAnsi="宋体" w:eastAsia="宋体" w:cs="宋体"/>
                      <w:color w:val="auto"/>
                      <w:sz w:val="21"/>
                      <w:szCs w:val="21"/>
                      <w:lang w:eastAsia="zh-CN"/>
                    </w:rPr>
                    <w:t>）、间接排放</w:t>
                  </w:r>
                </w:p>
              </w:tc>
            </w:tr>
          </w:tbl>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pPr>
            <w:r>
              <w:rPr>
                <w:rFonts w:hint="eastAsia" w:ascii="宋体" w:hAnsi="宋体" w:eastAsia="宋体" w:cs="宋体"/>
                <w:color w:val="auto"/>
                <w:sz w:val="24"/>
                <w:szCs w:val="24"/>
                <w:lang w:eastAsia="zh-CN"/>
              </w:rPr>
              <w:t>二、废气</w:t>
            </w:r>
          </w:p>
          <w:p>
            <w:pPr>
              <w:pStyle w:val="19"/>
              <w:ind w:firstLine="480" w:firstLineChars="200"/>
              <w:rPr>
                <w:rFonts w:hint="default"/>
                <w:sz w:val="24"/>
                <w:szCs w:val="24"/>
                <w:lang w:val="en-US" w:eastAsia="zh-CN"/>
              </w:rPr>
            </w:pPr>
            <w:r>
              <w:rPr>
                <w:rFonts w:hint="eastAsia"/>
                <w:sz w:val="24"/>
                <w:szCs w:val="24"/>
                <w:lang w:val="en-US" w:eastAsia="zh-CN"/>
              </w:rPr>
              <w:t>本项目废水来源</w:t>
            </w:r>
            <w:r>
              <w:rPr>
                <w:rFonts w:hint="default"/>
                <w:sz w:val="24"/>
                <w:szCs w:val="24"/>
                <w:lang w:val="en-US" w:eastAsia="zh-CN"/>
              </w:rPr>
              <w:t>、防治措施、排放情况见下表：</w:t>
            </w:r>
          </w:p>
          <w:p>
            <w:pPr>
              <w:pStyle w:val="19"/>
              <w:jc w:val="center"/>
              <w:rPr>
                <w:rFonts w:hint="default"/>
                <w:sz w:val="24"/>
                <w:szCs w:val="24"/>
                <w:lang w:val="en-US" w:eastAsia="zh-CN"/>
              </w:rPr>
            </w:pPr>
            <w:r>
              <w:rPr>
                <w:rFonts w:hint="default" w:ascii="Times New Roman" w:hAnsi="Times New Roman" w:eastAsia="宋体" w:cs="Times New Roman"/>
                <w:b/>
                <w:bCs/>
                <w:color w:val="auto"/>
                <w:sz w:val="21"/>
                <w:szCs w:val="21"/>
              </w:rPr>
              <w:t>表</w:t>
            </w:r>
            <w:r>
              <w:rPr>
                <w:rFonts w:hint="eastAsia" w:ascii="Times New Roman" w:hAnsi="Times New Roman" w:cs="Times New Roman"/>
                <w:b/>
                <w:bCs/>
                <w:color w:val="auto"/>
                <w:sz w:val="21"/>
                <w:szCs w:val="21"/>
                <w:lang w:val="en-US" w:eastAsia="zh-CN"/>
              </w:rPr>
              <w:t>8</w:t>
            </w:r>
            <w:r>
              <w:rPr>
                <w:rFonts w:hint="default" w:ascii="Times New Roman" w:hAnsi="Times New Roman" w:eastAsia="宋体" w:cs="Times New Roman"/>
                <w:b/>
                <w:bCs/>
                <w:color w:val="auto"/>
                <w:sz w:val="21"/>
                <w:szCs w:val="21"/>
              </w:rPr>
              <w:t xml:space="preserve"> </w:t>
            </w:r>
            <w:r>
              <w:rPr>
                <w:rFonts w:hint="default" w:ascii="Times New Roman" w:hAnsi="Times New Roman" w:eastAsia="宋体" w:cs="Times New Roman"/>
                <w:b/>
                <w:bCs/>
                <w:color w:val="auto"/>
                <w:sz w:val="21"/>
                <w:szCs w:val="21"/>
                <w:lang w:val="en-US" w:eastAsia="zh-CN"/>
              </w:rPr>
              <w:t xml:space="preserve">    </w:t>
            </w:r>
            <w:r>
              <w:rPr>
                <w:rFonts w:hint="default"/>
                <w:b/>
                <w:bCs/>
                <w:sz w:val="21"/>
                <w:szCs w:val="21"/>
                <w:lang w:val="en-US" w:eastAsia="zh-CN"/>
              </w:rPr>
              <w:t>项目</w:t>
            </w:r>
            <w:r>
              <w:rPr>
                <w:rFonts w:hint="eastAsia"/>
                <w:b/>
                <w:bCs/>
                <w:sz w:val="21"/>
                <w:szCs w:val="21"/>
                <w:lang w:val="en-US" w:eastAsia="zh-CN"/>
              </w:rPr>
              <w:t>废气</w:t>
            </w:r>
            <w:r>
              <w:rPr>
                <w:rFonts w:hint="default"/>
                <w:b/>
                <w:bCs/>
                <w:sz w:val="21"/>
                <w:szCs w:val="21"/>
                <w:lang w:val="en-US" w:eastAsia="zh-CN"/>
              </w:rPr>
              <w:t>产生</w:t>
            </w:r>
            <w:r>
              <w:rPr>
                <w:rFonts w:hint="eastAsia"/>
                <w:b/>
                <w:bCs/>
                <w:sz w:val="21"/>
                <w:szCs w:val="21"/>
                <w:lang w:val="en-US" w:eastAsia="zh-CN"/>
              </w:rPr>
              <w:t>来源</w:t>
            </w:r>
            <w:r>
              <w:rPr>
                <w:rFonts w:hint="default"/>
                <w:b/>
                <w:bCs/>
                <w:sz w:val="21"/>
                <w:szCs w:val="21"/>
                <w:lang w:val="en-US" w:eastAsia="zh-CN"/>
              </w:rPr>
              <w:t>、防治措施、排放方式一览表</w:t>
            </w:r>
          </w:p>
          <w:tbl>
            <w:tblPr>
              <w:tblStyle w:val="1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37"/>
              <w:gridCol w:w="1894"/>
              <w:gridCol w:w="3194"/>
              <w:gridCol w:w="12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347" w:type="pct"/>
                  <w:tcBorders>
                    <w:tl2br w:val="nil"/>
                    <w:tr2bl w:val="nil"/>
                  </w:tcBorders>
                  <w:shd w:val="clear" w:color="auto" w:fill="BEBEBE" w:themeFill="background1" w:themeFillShade="BF"/>
                  <w:noWrap w:val="0"/>
                  <w:vAlign w:val="center"/>
                </w:tcPr>
                <w:p>
                  <w:pPr>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来源</w:t>
                  </w:r>
                </w:p>
              </w:tc>
              <w:tc>
                <w:tcPr>
                  <w:tcW w:w="1092" w:type="pct"/>
                  <w:tcBorders>
                    <w:tl2br w:val="nil"/>
                    <w:tr2bl w:val="nil"/>
                  </w:tcBorders>
                  <w:shd w:val="clear" w:color="auto" w:fill="BEBEBE" w:themeFill="background1" w:themeFillShade="BF"/>
                  <w:noWrap w:val="0"/>
                  <w:vAlign w:val="center"/>
                </w:tcPr>
                <w:p>
                  <w:pPr>
                    <w:jc w:val="cente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sz w:val="21"/>
                      <w:szCs w:val="21"/>
                      <w:lang w:val="en-US" w:eastAsia="zh-CN"/>
                    </w:rPr>
                    <w:t>主要污染因子</w:t>
                  </w:r>
                </w:p>
              </w:tc>
              <w:tc>
                <w:tcPr>
                  <w:tcW w:w="1841" w:type="pct"/>
                  <w:tcBorders>
                    <w:tl2br w:val="nil"/>
                    <w:tr2bl w:val="nil"/>
                  </w:tcBorders>
                  <w:shd w:val="clear" w:color="auto" w:fill="BEBEBE" w:themeFill="background1" w:themeFillShade="BF"/>
                  <w:noWrap w:val="0"/>
                  <w:vAlign w:val="center"/>
                </w:tcPr>
                <w:p>
                  <w:pPr>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污染防治措施</w:t>
                  </w:r>
                </w:p>
              </w:tc>
              <w:tc>
                <w:tcPr>
                  <w:tcW w:w="718" w:type="pct"/>
                  <w:tcBorders>
                    <w:tl2br w:val="nil"/>
                    <w:tr2bl w:val="nil"/>
                  </w:tcBorders>
                  <w:shd w:val="clear" w:color="auto" w:fill="BEBEBE" w:themeFill="background1" w:themeFillShade="BF"/>
                  <w:noWrap w:val="0"/>
                  <w:vAlign w:val="center"/>
                </w:tcPr>
                <w:p>
                  <w:pPr>
                    <w:jc w:val="center"/>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排放方式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1347" w:type="pct"/>
                  <w:tcBorders>
                    <w:tl2br w:val="nil"/>
                    <w:tr2bl w:val="nil"/>
                  </w:tcBorders>
                  <w:shd w:val="clear" w:color="auto" w:fill="auto"/>
                  <w:noWrap w:val="0"/>
                  <w:vAlign w:val="center"/>
                </w:tcPr>
                <w:p>
                  <w:pPr>
                    <w:pStyle w:val="4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炼油事业部污水预处理工段、苯乙烯中间罐区、装卸站台、原油区脱水井、中间罐区轻质油罐组等装置的无组织有机废气</w:t>
                  </w:r>
                  <w:r>
                    <w:rPr>
                      <w:rFonts w:hint="eastAsia" w:ascii="宋体" w:hAnsi="宋体" w:eastAsia="宋体" w:cs="宋体"/>
                      <w:color w:val="auto"/>
                      <w:sz w:val="21"/>
                      <w:szCs w:val="21"/>
                      <w:lang w:eastAsia="zh-CN"/>
                    </w:rPr>
                    <w:t>无</w:t>
                  </w:r>
                </w:p>
              </w:tc>
              <w:tc>
                <w:tcPr>
                  <w:tcW w:w="1092" w:type="pct"/>
                  <w:tcBorders>
                    <w:tl2br w:val="nil"/>
                    <w:tr2bl w:val="nil"/>
                  </w:tcBorders>
                  <w:shd w:val="clear" w:color="auto" w:fill="auto"/>
                  <w:noWrap w:val="0"/>
                  <w:vAlign w:val="center"/>
                </w:tcPr>
                <w:p>
                  <w:pPr>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苯、二甲苯、甲苯、</w:t>
                  </w:r>
                </w:p>
                <w:p>
                  <w:pPr>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lang w:val="en-US" w:eastAsia="zh-CN"/>
                    </w:rPr>
                    <w:t>非甲烷总烃</w:t>
                  </w:r>
                </w:p>
              </w:tc>
              <w:tc>
                <w:tcPr>
                  <w:tcW w:w="1841" w:type="pct"/>
                  <w:tcBorders>
                    <w:tl2br w:val="nil"/>
                    <w:tr2bl w:val="nil"/>
                  </w:tcBorders>
                  <w:shd w:val="clear" w:color="auto" w:fill="auto"/>
                  <w:noWrap w:val="0"/>
                  <w:vAlign w:val="center"/>
                </w:tcPr>
                <w:p>
                  <w:pPr>
                    <w:keepNext w:val="0"/>
                    <w:keepLines w:val="0"/>
                    <w:widowControl/>
                    <w:suppressLineNumbers w:val="0"/>
                    <w:jc w:val="center"/>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eastAsia="zh-CN"/>
                    </w:rPr>
                    <w:t>热氧燃烧＋脱硫设施处理</w:t>
                  </w:r>
                </w:p>
              </w:tc>
              <w:tc>
                <w:tcPr>
                  <w:tcW w:w="718" w:type="pct"/>
                  <w:tcBorders>
                    <w:tl2br w:val="nil"/>
                    <w:tr2bl w:val="nil"/>
                  </w:tcBorders>
                  <w:shd w:val="clear" w:color="auto" w:fill="auto"/>
                  <w:noWrap w:val="0"/>
                  <w:vAlign w:val="center"/>
                </w:tcPr>
                <w:p>
                  <w:pPr>
                    <w:keepNext w:val="0"/>
                    <w:keepLines w:val="0"/>
                    <w:widowControl/>
                    <w:suppressLineNumbers w:val="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通过30m排气筒连续排放</w:t>
                  </w:r>
                </w:p>
              </w:tc>
            </w:tr>
          </w:tbl>
          <w:p/>
          <w:p>
            <w:pPr>
              <w:pStyle w:val="19"/>
            </w:pPr>
          </w:p>
          <w:p>
            <w:pPr>
              <w:pStyle w:val="19"/>
            </w:pPr>
          </w:p>
          <w:p>
            <w:pPr>
              <w:pStyle w:val="9"/>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eastAsia" w:ascii="宋体" w:hAnsi="宋体" w:eastAsia="宋体" w:cs="宋体"/>
                <w:sz w:val="24"/>
                <w:szCs w:val="24"/>
                <w:lang w:val="en-US" w:eastAsia="zh-CN"/>
              </w:rPr>
            </w:pPr>
          </w:p>
          <w:p>
            <w:pPr>
              <w:pStyle w:val="9"/>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eastAsia" w:ascii="宋体" w:hAnsi="宋体" w:eastAsia="宋体" w:cs="宋体"/>
                <w:sz w:val="24"/>
                <w:szCs w:val="24"/>
                <w:lang w:val="en-US" w:eastAsia="zh-CN"/>
              </w:rPr>
            </w:pPr>
          </w:p>
          <w:p>
            <w:pPr>
              <w:pStyle w:val="9"/>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eastAsia" w:ascii="宋体" w:hAnsi="宋体" w:eastAsia="宋体" w:cs="宋体"/>
                <w:sz w:val="24"/>
                <w:szCs w:val="24"/>
                <w:lang w:val="en-US" w:eastAsia="zh-CN"/>
              </w:rPr>
            </w:pPr>
          </w:p>
          <w:p>
            <w:pPr>
              <w:pStyle w:val="9"/>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eastAsia" w:ascii="宋体" w:hAnsi="宋体" w:eastAsia="宋体" w:cs="宋体"/>
                <w:sz w:val="24"/>
                <w:szCs w:val="24"/>
                <w:lang w:val="en-US" w:eastAsia="zh-CN"/>
              </w:rPr>
            </w:pPr>
            <w:bookmarkStart w:id="7" w:name="_GoBack"/>
            <w:bookmarkEnd w:id="7"/>
          </w:p>
          <w:p>
            <w:pPr>
              <w:pStyle w:val="9"/>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eastAsia" w:ascii="宋体" w:hAnsi="宋体" w:eastAsia="宋体" w:cs="宋体"/>
                <w:sz w:val="24"/>
                <w:szCs w:val="24"/>
                <w:lang w:val="en-US" w:eastAsia="zh-CN"/>
              </w:rPr>
            </w:pPr>
          </w:p>
          <w:p>
            <w:pPr>
              <w:pStyle w:val="9"/>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eastAsia" w:ascii="宋体" w:hAnsi="宋体" w:eastAsia="宋体" w:cs="宋体"/>
                <w:sz w:val="24"/>
                <w:szCs w:val="24"/>
                <w:lang w:val="en-US" w:eastAsia="zh-CN"/>
              </w:rPr>
            </w:pPr>
          </w:p>
          <w:p>
            <w:pPr>
              <w:pStyle w:val="9"/>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eastAsia" w:ascii="宋体" w:hAnsi="宋体" w:eastAsia="宋体" w:cs="宋体"/>
                <w:sz w:val="24"/>
                <w:szCs w:val="24"/>
                <w:lang w:val="en-US" w:eastAsia="zh-CN"/>
              </w:rPr>
            </w:pPr>
          </w:p>
          <w:p>
            <w:pPr>
              <w:pStyle w:val="9"/>
              <w:keepNext w:val="0"/>
              <w:keepLines w:val="0"/>
              <w:pageBreakBefore w:val="0"/>
              <w:widowControl w:val="0"/>
              <w:kinsoku/>
              <w:wordWrap/>
              <w:overflowPunct/>
              <w:topLinePunct w:val="0"/>
              <w:autoSpaceDE w:val="0"/>
              <w:autoSpaceDN w:val="0"/>
              <w:bidi w:val="0"/>
              <w:snapToGrid/>
              <w:spacing w:line="360" w:lineRule="auto"/>
              <w:ind w:firstLine="480" w:firstLineChars="200"/>
              <w:textAlignment w:val="auto"/>
              <w:rPr>
                <w:rFonts w:hint="eastAsia" w:ascii="宋体" w:hAnsi="宋体" w:eastAsia="宋体" w:cs="宋体"/>
                <w:sz w:val="24"/>
                <w:szCs w:val="24"/>
                <w:lang w:val="en-US"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6"/>
              <w:gridCol w:w="4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both"/>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drawing>
                      <wp:inline distT="0" distB="0" distL="114300" distR="114300">
                        <wp:extent cx="2633345" cy="2305685"/>
                        <wp:effectExtent l="0" t="0" r="14605" b="18415"/>
                        <wp:docPr id="14" name="图片 14" descr="91AC6787A434BA0DDD64AD47725A3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91AC6787A434BA0DDD64AD47725A3384"/>
                                <pic:cNvPicPr>
                                  <a:picLocks noChangeAspect="1"/>
                                </pic:cNvPicPr>
                              </pic:nvPicPr>
                              <pic:blipFill>
                                <a:blip r:embed="rId13"/>
                                <a:stretch>
                                  <a:fillRect/>
                                </a:stretch>
                              </pic:blipFill>
                              <pic:spPr>
                                <a:xfrm>
                                  <a:off x="0" y="0"/>
                                  <a:ext cx="2633345" cy="2305685"/>
                                </a:xfrm>
                                <a:prstGeom prst="rect">
                                  <a:avLst/>
                                </a:prstGeom>
                              </pic:spPr>
                            </pic:pic>
                          </a:graphicData>
                        </a:graphic>
                      </wp:inline>
                    </w:drawing>
                  </w:r>
                </w:p>
              </w:tc>
              <w:tc>
                <w:tcPr>
                  <w:tcW w:w="4356" w:type="dxa"/>
                </w:tcPr>
                <w:p>
                  <w:pPr>
                    <w:autoSpaceDE/>
                    <w:autoSpaceDN/>
                    <w:spacing w:line="360" w:lineRule="auto"/>
                    <w:jc w:val="both"/>
                    <w:rPr>
                      <w:rFonts w:hint="eastAsia" w:ascii="宋体" w:hAnsi="宋体" w:eastAsia="宋体" w:cs="宋体"/>
                      <w:color w:val="auto"/>
                      <w:sz w:val="24"/>
                      <w:szCs w:val="24"/>
                      <w:vertAlign w:val="baseline"/>
                      <w:lang w:eastAsia="zh-CN"/>
                    </w:rPr>
                  </w:pPr>
                  <w:r>
                    <w:rPr>
                      <w:rFonts w:hint="eastAsia" w:ascii="宋体" w:hAnsi="宋体" w:eastAsia="宋体" w:cs="宋体"/>
                      <w:color w:val="auto"/>
                      <w:sz w:val="24"/>
                      <w:szCs w:val="24"/>
                      <w:vertAlign w:val="baseline"/>
                      <w:lang w:eastAsia="zh-CN"/>
                    </w:rPr>
                    <w:drawing>
                      <wp:inline distT="0" distB="0" distL="114300" distR="114300">
                        <wp:extent cx="2626360" cy="2303145"/>
                        <wp:effectExtent l="0" t="0" r="2540" b="1905"/>
                        <wp:docPr id="18" name="图片 18" descr="187E2E593270C98993F95F0CA420FF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87E2E593270C98993F95F0CA420FFE2"/>
                                <pic:cNvPicPr>
                                  <a:picLocks noChangeAspect="1"/>
                                </pic:cNvPicPr>
                              </pic:nvPicPr>
                              <pic:blipFill>
                                <a:blip r:embed="rId14"/>
                                <a:stretch>
                                  <a:fillRect/>
                                </a:stretch>
                              </pic:blipFill>
                              <pic:spPr>
                                <a:xfrm>
                                  <a:off x="0" y="0"/>
                                  <a:ext cx="2626360" cy="2303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VOCs处理装置废气收集</w:t>
                  </w:r>
                </w:p>
              </w:tc>
              <w:tc>
                <w:tcPr>
                  <w:tcW w:w="4356" w:type="dxa"/>
                </w:tcPr>
                <w:p>
                  <w:pPr>
                    <w:autoSpaceDE/>
                    <w:autoSpaceDN/>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val="en-US" w:eastAsia="zh-CN"/>
                    </w:rPr>
                    <w:t>VOCs处理装置废气收集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9" w:hRule="atLeast"/>
              </w:trPr>
              <w:tc>
                <w:tcPr>
                  <w:tcW w:w="4386" w:type="dxa"/>
                </w:tcPr>
                <w:p>
                  <w:pPr>
                    <w:autoSpaceDE/>
                    <w:autoSpaceDN/>
                    <w:spacing w:line="36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drawing>
                      <wp:inline distT="0" distB="0" distL="114300" distR="114300">
                        <wp:extent cx="2647315" cy="1985645"/>
                        <wp:effectExtent l="0" t="0" r="635" b="14605"/>
                        <wp:docPr id="47" name="图片 47" descr="239fedb9e3c67753db115523a100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239fedb9e3c67753db115523a100635"/>
                                <pic:cNvPicPr>
                                  <a:picLocks noChangeAspect="1"/>
                                </pic:cNvPicPr>
                              </pic:nvPicPr>
                              <pic:blipFill>
                                <a:blip r:embed="rId15"/>
                                <a:stretch>
                                  <a:fillRect/>
                                </a:stretch>
                              </pic:blipFill>
                              <pic:spPr>
                                <a:xfrm>
                                  <a:off x="0" y="0"/>
                                  <a:ext cx="2647315" cy="1985645"/>
                                </a:xfrm>
                                <a:prstGeom prst="rect">
                                  <a:avLst/>
                                </a:prstGeom>
                              </pic:spPr>
                            </pic:pic>
                          </a:graphicData>
                        </a:graphic>
                      </wp:inline>
                    </w:drawing>
                  </w:r>
                </w:p>
              </w:tc>
              <w:tc>
                <w:tcPr>
                  <w:tcW w:w="4356" w:type="dxa"/>
                </w:tcPr>
                <w:p>
                  <w:pPr>
                    <w:autoSpaceDE/>
                    <w:autoSpaceDN/>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val="en-US" w:eastAsia="zh-CN"/>
                    </w:rPr>
                    <w:drawing>
                      <wp:inline distT="0" distB="0" distL="114300" distR="114300">
                        <wp:extent cx="2620010" cy="2031365"/>
                        <wp:effectExtent l="0" t="0" r="8890" b="6985"/>
                        <wp:docPr id="21" name="图片 21" descr="c6184328e657d4f4172c6260f0c74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6184328e657d4f4172c6260f0c741d"/>
                                <pic:cNvPicPr>
                                  <a:picLocks noChangeAspect="1"/>
                                </pic:cNvPicPr>
                              </pic:nvPicPr>
                              <pic:blipFill>
                                <a:blip r:embed="rId16"/>
                                <a:stretch>
                                  <a:fillRect/>
                                </a:stretch>
                              </pic:blipFill>
                              <pic:spPr>
                                <a:xfrm>
                                  <a:off x="0" y="0"/>
                                  <a:ext cx="2620010" cy="20313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VOCs处理装置废气收集</w:t>
                  </w:r>
                </w:p>
              </w:tc>
              <w:tc>
                <w:tcPr>
                  <w:tcW w:w="4356" w:type="dxa"/>
                </w:tcPr>
                <w:p>
                  <w:pPr>
                    <w:autoSpaceDE/>
                    <w:autoSpaceDN/>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val="en-US" w:eastAsia="zh-CN"/>
                    </w:rPr>
                    <w:t>VOCs处理装置热氧化炉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drawing>
                      <wp:inline distT="0" distB="0" distL="114300" distR="114300">
                        <wp:extent cx="2623185" cy="3060700"/>
                        <wp:effectExtent l="0" t="0" r="5715" b="6350"/>
                        <wp:docPr id="23" name="图片 23" descr="e9fc87dcd368167fef6aac386c17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e9fc87dcd368167fef6aac386c17529"/>
                                <pic:cNvPicPr>
                                  <a:picLocks noChangeAspect="1"/>
                                </pic:cNvPicPr>
                              </pic:nvPicPr>
                              <pic:blipFill>
                                <a:blip r:embed="rId17"/>
                                <a:stretch>
                                  <a:fillRect/>
                                </a:stretch>
                              </pic:blipFill>
                              <pic:spPr>
                                <a:xfrm>
                                  <a:off x="0" y="0"/>
                                  <a:ext cx="2623185" cy="3060700"/>
                                </a:xfrm>
                                <a:prstGeom prst="rect">
                                  <a:avLst/>
                                </a:prstGeom>
                              </pic:spPr>
                            </pic:pic>
                          </a:graphicData>
                        </a:graphic>
                      </wp:inline>
                    </w:drawing>
                  </w:r>
                </w:p>
              </w:tc>
              <w:tc>
                <w:tcPr>
                  <w:tcW w:w="4356" w:type="dxa"/>
                </w:tcPr>
                <w:p>
                  <w:pPr>
                    <w:autoSpaceDE/>
                    <w:autoSpaceDN/>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eastAsia="zh-CN"/>
                    </w:rPr>
                    <w:drawing>
                      <wp:inline distT="0" distB="0" distL="114300" distR="114300">
                        <wp:extent cx="2614930" cy="3106420"/>
                        <wp:effectExtent l="0" t="0" r="13970" b="17780"/>
                        <wp:docPr id="25" name="图片 25" descr="F7A84ED5963B4BE19B6681AF66474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F7A84ED5963B4BE19B6681AF66474E17"/>
                                <pic:cNvPicPr>
                                  <a:picLocks noChangeAspect="1"/>
                                </pic:cNvPicPr>
                              </pic:nvPicPr>
                              <pic:blipFill>
                                <a:blip r:embed="rId18"/>
                                <a:stretch>
                                  <a:fillRect/>
                                </a:stretch>
                              </pic:blipFill>
                              <pic:spPr>
                                <a:xfrm>
                                  <a:off x="0" y="0"/>
                                  <a:ext cx="2614930" cy="31064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6" w:type="dxa"/>
                </w:tcPr>
                <w:p>
                  <w:pPr>
                    <w:autoSpaceDE/>
                    <w:autoSpaceDN/>
                    <w:spacing w:line="360" w:lineRule="auto"/>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VOCs处理装置脱硫塔</w:t>
                  </w:r>
                </w:p>
              </w:tc>
              <w:tc>
                <w:tcPr>
                  <w:tcW w:w="4356" w:type="dxa"/>
                </w:tcPr>
                <w:p>
                  <w:pPr>
                    <w:autoSpaceDE/>
                    <w:autoSpaceDN/>
                    <w:spacing w:line="360" w:lineRule="auto"/>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val="en-US" w:eastAsia="zh-CN"/>
                    </w:rPr>
                    <w:t>VOCs处理装置废气排放设施</w:t>
                  </w:r>
                </w:p>
              </w:tc>
            </w:tr>
          </w:tbl>
          <w:p>
            <w:pPr>
              <w:autoSpaceDE/>
              <w:autoSpaceDN/>
              <w:spacing w:line="360" w:lineRule="auto"/>
              <w:ind w:firstLine="482"/>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三、噪声</w:t>
            </w:r>
          </w:p>
          <w:p>
            <w:pPr>
              <w:autoSpaceDE/>
              <w:autoSpaceDN/>
              <w:spacing w:line="360" w:lineRule="auto"/>
              <w:ind w:firstLine="464" w:firstLineChars="200"/>
              <w:rPr>
                <w:rFonts w:hint="eastAsia" w:ascii="宋体" w:hAnsi="宋体" w:eastAsia="宋体" w:cs="宋体"/>
                <w:color w:val="auto"/>
                <w:sz w:val="24"/>
                <w:szCs w:val="24"/>
                <w:lang w:val="en-US" w:eastAsia="zh-CN"/>
              </w:rPr>
            </w:pPr>
            <w:r>
              <w:rPr>
                <w:rFonts w:hint="default" w:ascii="Times New Roman" w:hAnsi="Times New Roman" w:eastAsia="宋体" w:cs="Times New Roman"/>
                <w:color w:val="auto"/>
                <w:spacing w:val="-4"/>
                <w:sz w:val="24"/>
                <w:szCs w:val="24"/>
              </w:rPr>
              <w:t>经验收期间现场核查，项目实际生产过程中</w:t>
            </w:r>
            <w:r>
              <w:rPr>
                <w:rFonts w:hint="default" w:ascii="Times New Roman" w:hAnsi="Times New Roman" w:eastAsia="宋体" w:cs="Times New Roman"/>
                <w:color w:val="auto"/>
                <w:kern w:val="0"/>
                <w:sz w:val="24"/>
                <w:szCs w:val="24"/>
                <w:lang w:val="en-US" w:eastAsia="zh-CN" w:bidi="ar"/>
              </w:rPr>
              <w:t>工程运营期间主要噪声源为</w:t>
            </w:r>
            <w:r>
              <w:rPr>
                <w:rFonts w:hint="eastAsia"/>
                <w:color w:val="auto"/>
                <w:lang w:eastAsia="zh-CN"/>
              </w:rPr>
              <w:t>脱硫塔</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引</w:t>
            </w:r>
            <w:r>
              <w:rPr>
                <w:rFonts w:hint="default" w:ascii="Times New Roman" w:hAnsi="Times New Roman" w:eastAsia="宋体" w:cs="Times New Roman"/>
                <w:color w:val="auto"/>
                <w:kern w:val="0"/>
                <w:sz w:val="24"/>
                <w:szCs w:val="24"/>
                <w:lang w:val="en-US" w:eastAsia="zh-CN" w:bidi="ar"/>
              </w:rPr>
              <w:t>风机等机械动力噪声</w:t>
            </w:r>
            <w:r>
              <w:rPr>
                <w:rFonts w:hint="eastAsia" w:cs="Times New Roman"/>
                <w:color w:val="auto"/>
                <w:kern w:val="0"/>
                <w:sz w:val="24"/>
                <w:szCs w:val="24"/>
                <w:lang w:val="en-US" w:eastAsia="zh-CN" w:bidi="ar"/>
              </w:rPr>
              <w:t>。</w:t>
            </w:r>
            <w:r>
              <w:rPr>
                <w:rFonts w:hint="default" w:ascii="Times New Roman" w:hAnsi="Times New Roman" w:eastAsia="宋体" w:cs="Times New Roman"/>
                <w:color w:val="auto"/>
                <w:spacing w:val="-4"/>
                <w:sz w:val="24"/>
                <w:szCs w:val="24"/>
              </w:rPr>
              <w:t>具体情况见表</w:t>
            </w:r>
            <w:r>
              <w:rPr>
                <w:rFonts w:hint="eastAsia" w:ascii="Times New Roman" w:hAnsi="Times New Roman" w:eastAsia="宋体" w:cs="Times New Roman"/>
                <w:color w:val="auto"/>
                <w:spacing w:val="-4"/>
                <w:sz w:val="24"/>
                <w:szCs w:val="24"/>
                <w:lang w:val="en-US" w:eastAsia="zh-CN"/>
              </w:rPr>
              <w:t>9</w:t>
            </w:r>
            <w:r>
              <w:rPr>
                <w:rFonts w:hint="default" w:ascii="Times New Roman" w:hAnsi="Times New Roman" w:eastAsia="宋体" w:cs="Times New Roman"/>
                <w:color w:val="auto"/>
                <w:spacing w:val="-4"/>
                <w:sz w:val="24"/>
                <w:szCs w:val="24"/>
              </w:rPr>
              <w:t>。</w:t>
            </w:r>
          </w:p>
          <w:p>
            <w:pPr>
              <w:spacing w:line="360" w:lineRule="auto"/>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表9</w:t>
            </w:r>
            <w:r>
              <w:rPr>
                <w:rFonts w:hint="default" w:ascii="Times New Roman" w:hAnsi="Times New Roman" w:eastAsia="宋体" w:cs="Times New Roman"/>
                <w:b/>
                <w:bCs/>
                <w:color w:val="auto"/>
                <w:sz w:val="21"/>
                <w:szCs w:val="21"/>
                <w:lang w:val="en-US" w:eastAsia="zh-CN"/>
              </w:rPr>
              <w:t xml:space="preserve">  </w:t>
            </w:r>
            <w:r>
              <w:rPr>
                <w:rFonts w:hint="eastAsia" w:ascii="Times New Roman" w:hAnsi="Times New Roman" w:eastAsia="宋体" w:cs="Times New Roman"/>
                <w:b/>
                <w:bCs/>
                <w:color w:val="auto"/>
                <w:sz w:val="21"/>
                <w:szCs w:val="21"/>
                <w:lang w:val="en-US" w:eastAsia="zh-CN"/>
              </w:rPr>
              <w:t xml:space="preserve">  噪声源源强一览表</w:t>
            </w:r>
            <w:r>
              <w:rPr>
                <w:rFonts w:hint="default" w:ascii="Times New Roman" w:hAnsi="Times New Roman" w:eastAsia="宋体" w:cs="Times New Roman"/>
                <w:b/>
                <w:bCs/>
                <w:color w:val="auto"/>
                <w:sz w:val="21"/>
                <w:szCs w:val="21"/>
                <w:lang w:val="en-US" w:eastAsia="zh-CN"/>
              </w:rPr>
              <w:t xml:space="preserve">    </w:t>
            </w:r>
            <w:r>
              <w:rPr>
                <w:rFonts w:hint="eastAsia" w:ascii="Times New Roman" w:hAnsi="Times New Roman" w:eastAsia="宋体" w:cs="Times New Roman"/>
                <w:b/>
                <w:bCs/>
                <w:color w:val="auto"/>
                <w:sz w:val="21"/>
                <w:szCs w:val="21"/>
                <w:lang w:val="en-US" w:eastAsia="zh-CN"/>
              </w:rPr>
              <w:t>单位：</w:t>
            </w:r>
            <w:r>
              <w:rPr>
                <w:rFonts w:hint="default" w:ascii="Times New Roman" w:hAnsi="Times New Roman" w:eastAsia="宋体" w:cs="Times New Roman"/>
                <w:b/>
                <w:bCs/>
                <w:color w:val="auto"/>
                <w:sz w:val="21"/>
                <w:szCs w:val="21"/>
                <w:lang w:val="en-US" w:eastAsia="zh-CN"/>
              </w:rPr>
              <w:t>dB</w:t>
            </w:r>
            <w:r>
              <w:rPr>
                <w:rFonts w:hint="eastAsia" w:ascii="Times New Roman" w:hAnsi="Times New Roman" w:eastAsia="宋体" w:cs="Times New Roman"/>
                <w:b/>
                <w:bCs/>
                <w:color w:val="auto"/>
                <w:sz w:val="21"/>
                <w:szCs w:val="21"/>
                <w:lang w:val="en-US" w:eastAsia="zh-CN"/>
              </w:rPr>
              <w:t>（</w:t>
            </w:r>
            <w:r>
              <w:rPr>
                <w:rFonts w:hint="default" w:ascii="Times New Roman" w:hAnsi="Times New Roman" w:eastAsia="宋体" w:cs="Times New Roman"/>
                <w:b/>
                <w:bCs/>
                <w:color w:val="auto"/>
                <w:sz w:val="21"/>
                <w:szCs w:val="21"/>
                <w:lang w:val="en-US" w:eastAsia="zh-CN"/>
              </w:rPr>
              <w:t>A</w:t>
            </w:r>
            <w:r>
              <w:rPr>
                <w:rFonts w:hint="eastAsia" w:ascii="Times New Roman" w:hAnsi="Times New Roman" w:eastAsia="宋体" w:cs="Times New Roman"/>
                <w:b/>
                <w:bCs/>
                <w:color w:val="auto"/>
                <w:sz w:val="21"/>
                <w:szCs w:val="21"/>
                <w:lang w:val="en-US" w:eastAsia="zh-CN"/>
              </w:rPr>
              <w:t>）</w:t>
            </w:r>
          </w:p>
          <w:tbl>
            <w:tblPr>
              <w:tblStyle w:val="16"/>
              <w:tblW w:w="862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675"/>
              <w:gridCol w:w="1417"/>
              <w:gridCol w:w="1418"/>
              <w:gridCol w:w="1440"/>
              <w:gridCol w:w="16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037" w:type="dxa"/>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序号</w:t>
                  </w:r>
                </w:p>
              </w:tc>
              <w:tc>
                <w:tcPr>
                  <w:tcW w:w="1675" w:type="dxa"/>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名称</w:t>
                  </w:r>
                </w:p>
              </w:tc>
              <w:tc>
                <w:tcPr>
                  <w:tcW w:w="1417" w:type="dxa"/>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数量（台）</w:t>
                  </w:r>
                </w:p>
              </w:tc>
              <w:tc>
                <w:tcPr>
                  <w:tcW w:w="1418" w:type="dxa"/>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噪声源强</w:t>
                  </w:r>
                </w:p>
              </w:tc>
              <w:tc>
                <w:tcPr>
                  <w:tcW w:w="1440" w:type="dxa"/>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位置</w:t>
                  </w:r>
                </w:p>
              </w:tc>
              <w:tc>
                <w:tcPr>
                  <w:tcW w:w="1637" w:type="dxa"/>
                  <w:tcBorders>
                    <w:tl2br w:val="nil"/>
                    <w:tr2bl w:val="nil"/>
                  </w:tcBorders>
                  <w:shd w:val="clear" w:color="auto" w:fill="D7D7D7" w:themeFill="background1" w:themeFillShade="D8"/>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lang w:eastAsia="zh-CN"/>
                    </w:rPr>
                    <w:t>降噪措施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037"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w:t>
                  </w:r>
                </w:p>
              </w:tc>
              <w:tc>
                <w:tcPr>
                  <w:tcW w:w="1675"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引风机</w:t>
                  </w:r>
                </w:p>
              </w:tc>
              <w:tc>
                <w:tcPr>
                  <w:tcW w:w="1417"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p>
              </w:tc>
              <w:tc>
                <w:tcPr>
                  <w:tcW w:w="1418"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75~85</w:t>
                  </w:r>
                </w:p>
              </w:tc>
              <w:tc>
                <w:tcPr>
                  <w:tcW w:w="1440"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装置区域</w:t>
                  </w:r>
                </w:p>
              </w:tc>
              <w:tc>
                <w:tcPr>
                  <w:tcW w:w="1637" w:type="dxa"/>
                  <w:vMerge w:val="restart"/>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减震、隔声、距离衰减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037"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2</w:t>
                  </w:r>
                </w:p>
              </w:tc>
              <w:tc>
                <w:tcPr>
                  <w:tcW w:w="1675"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脱硫塔</w:t>
                  </w:r>
                </w:p>
              </w:tc>
              <w:tc>
                <w:tcPr>
                  <w:tcW w:w="1417"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1</w:t>
                  </w:r>
                </w:p>
              </w:tc>
              <w:tc>
                <w:tcPr>
                  <w:tcW w:w="1418"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75~85</w:t>
                  </w:r>
                </w:p>
              </w:tc>
              <w:tc>
                <w:tcPr>
                  <w:tcW w:w="1440"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装置区域</w:t>
                  </w:r>
                </w:p>
              </w:tc>
              <w:tc>
                <w:tcPr>
                  <w:tcW w:w="1637" w:type="dxa"/>
                  <w:vMerge w:val="continue"/>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textAlignment w:val="auto"/>
                    <w:rPr>
                      <w:rFonts w:hint="eastAsia" w:ascii="宋体" w:hAnsi="宋体" w:eastAsia="宋体" w:cs="宋体"/>
                      <w:color w:val="auto"/>
                      <w:sz w:val="21"/>
                      <w:szCs w:val="21"/>
                      <w:lang w:eastAsia="zh-CN"/>
                    </w:rPr>
                  </w:pPr>
                </w:p>
              </w:tc>
            </w:tr>
          </w:tbl>
          <w:p>
            <w:pPr>
              <w:keepNext w:val="0"/>
              <w:keepLines w:val="0"/>
              <w:pageBreakBefore w:val="0"/>
              <w:widowControl w:val="0"/>
              <w:kinsoku/>
              <w:wordWrap/>
              <w:overflowPunct/>
              <w:topLinePunct w:val="0"/>
              <w:autoSpaceDE/>
              <w:autoSpaceDN/>
              <w:bidi w:val="0"/>
              <w:spacing w:line="360" w:lineRule="auto"/>
              <w:ind w:firstLine="482"/>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四、固废</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项目运营期不产生固废，项目无新增定员，生活垃圾不新增。</w:t>
            </w:r>
          </w:p>
          <w:p>
            <w:pPr>
              <w:keepNext w:val="0"/>
              <w:keepLines w:val="0"/>
              <w:pageBreakBefore w:val="0"/>
              <w:widowControl w:val="0"/>
              <w:numPr>
                <w:ilvl w:val="0"/>
                <w:numId w:val="2"/>
              </w:numPr>
              <w:kinsoku/>
              <w:wordWrap/>
              <w:overflowPunct/>
              <w:topLinePunct w:val="0"/>
              <w:autoSpaceDE/>
              <w:autoSpaceDN/>
              <w:bidi w:val="0"/>
              <w:spacing w:line="360" w:lineRule="auto"/>
              <w:ind w:firstLine="482"/>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项目监测布点图</w:t>
            </w:r>
          </w:p>
          <w:p>
            <w:pPr>
              <w:numPr>
                <w:ilvl w:val="0"/>
                <w:numId w:val="0"/>
              </w:numPr>
              <w:autoSpaceDE/>
              <w:autoSpaceDN/>
              <w:spacing w:line="360" w:lineRule="auto"/>
              <w:rPr>
                <w:color w:val="auto"/>
                <w:lang w:eastAsia="zh-CN"/>
              </w:rPr>
            </w:pPr>
            <w:r>
              <w:rPr>
                <w:color w:val="auto"/>
                <w:lang w:eastAsia="zh-CN"/>
              </w:rPr>
              <w:drawing>
                <wp:inline distT="0" distB="0" distL="114300" distR="114300">
                  <wp:extent cx="5549900" cy="3120390"/>
                  <wp:effectExtent l="0" t="0" r="12700" b="3810"/>
                  <wp:docPr id="52" name="图片 52" descr="1611802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1611802205(1)"/>
                          <pic:cNvPicPr>
                            <a:picLocks noChangeAspect="1"/>
                          </pic:cNvPicPr>
                        </pic:nvPicPr>
                        <pic:blipFill>
                          <a:blip r:embed="rId19"/>
                          <a:stretch>
                            <a:fillRect/>
                          </a:stretch>
                        </pic:blipFill>
                        <pic:spPr>
                          <a:xfrm>
                            <a:off x="0" y="0"/>
                            <a:ext cx="5549900" cy="31203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4" w:hRule="atLeast"/>
          <w:jc w:val="center"/>
        </w:trPr>
        <w:tc>
          <w:tcPr>
            <w:tcW w:w="5000" w:type="pct"/>
          </w:tcPr>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right="0" w:rightChars="0"/>
              <w:jc w:val="left"/>
              <w:textAlignment w:val="auto"/>
              <w:outlineLvl w:val="9"/>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4"/>
                <w:szCs w:val="24"/>
                <w:lang w:val="en-US" w:eastAsia="zh-CN"/>
              </w:rPr>
              <w:t>项目变更情况：</w:t>
            </w:r>
          </w:p>
          <w:p>
            <w:pPr>
              <w:spacing w:line="360" w:lineRule="auto"/>
              <w:jc w:val="center"/>
              <w:rPr>
                <w:rFonts w:hint="eastAsia" w:ascii="宋体" w:hAnsi="宋体" w:eastAsia="宋体" w:cs="宋体"/>
                <w:color w:val="auto"/>
                <w:sz w:val="24"/>
                <w:szCs w:val="24"/>
                <w:lang w:val="en-US" w:eastAsia="zh-CN"/>
              </w:rPr>
            </w:pPr>
            <w:r>
              <w:rPr>
                <w:rFonts w:hint="eastAsia" w:ascii="Times New Roman" w:hAnsi="Times New Roman" w:eastAsia="宋体" w:cs="Times New Roman"/>
                <w:b/>
                <w:bCs/>
                <w:color w:val="auto"/>
                <w:sz w:val="21"/>
                <w:szCs w:val="21"/>
                <w:lang w:val="en-US" w:eastAsia="zh-CN"/>
              </w:rPr>
              <w:t>表10</w:t>
            </w:r>
            <w:r>
              <w:rPr>
                <w:rFonts w:hint="default" w:ascii="Times New Roman" w:hAnsi="Times New Roman" w:eastAsia="宋体" w:cs="Times New Roman"/>
                <w:b/>
                <w:bCs/>
                <w:color w:val="auto"/>
                <w:sz w:val="21"/>
                <w:szCs w:val="21"/>
                <w:lang w:val="en-US" w:eastAsia="zh-CN"/>
              </w:rPr>
              <w:t xml:space="preserve">  </w:t>
            </w:r>
            <w:r>
              <w:rPr>
                <w:rFonts w:hint="eastAsia" w:ascii="Times New Roman" w:hAnsi="Times New Roman" w:eastAsia="宋体" w:cs="Times New Roman"/>
                <w:b/>
                <w:bCs/>
                <w:color w:val="auto"/>
                <w:sz w:val="21"/>
                <w:szCs w:val="21"/>
                <w:lang w:val="en-US" w:eastAsia="zh-CN"/>
              </w:rPr>
              <w:t>项目变更情况一览表</w:t>
            </w:r>
          </w:p>
          <w:tbl>
            <w:tblPr>
              <w:tblStyle w:val="17"/>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24"/>
              <w:gridCol w:w="60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shd w:val="clear" w:color="auto" w:fill="D7D7D7" w:themeFill="background1" w:themeFillShade="D8"/>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kern w:val="2"/>
                      <w:sz w:val="21"/>
                      <w:szCs w:val="21"/>
                      <w:highlight w:val="none"/>
                      <w:u w:val="none" w:color="auto"/>
                      <w:vertAlign w:val="baseline"/>
                      <w:lang w:val="en-US" w:eastAsia="zh-CN" w:bidi="ar"/>
                    </w:rPr>
                  </w:pPr>
                  <w:r>
                    <w:rPr>
                      <w:rFonts w:hint="eastAsia" w:ascii="宋体" w:hAnsi="宋体" w:eastAsia="宋体" w:cs="宋体"/>
                      <w:b/>
                      <w:bCs/>
                      <w:color w:val="auto"/>
                      <w:kern w:val="2"/>
                      <w:sz w:val="21"/>
                      <w:szCs w:val="21"/>
                      <w:highlight w:val="none"/>
                      <w:u w:val="none" w:color="auto"/>
                      <w:vertAlign w:val="baseline"/>
                      <w:lang w:val="en-US" w:eastAsia="zh-CN" w:bidi="ar"/>
                    </w:rPr>
                    <w:t>项目</w:t>
                  </w:r>
                </w:p>
              </w:tc>
              <w:tc>
                <w:tcPr>
                  <w:tcW w:w="3486" w:type="pct"/>
                  <w:tcBorders>
                    <w:tl2br w:val="nil"/>
                    <w:tr2bl w:val="nil"/>
                  </w:tcBorders>
                  <w:shd w:val="clear" w:color="auto" w:fill="D7D7D7" w:themeFill="background1" w:themeFillShade="D8"/>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kern w:val="2"/>
                      <w:sz w:val="21"/>
                      <w:szCs w:val="21"/>
                      <w:highlight w:val="none"/>
                      <w:u w:val="none" w:color="auto"/>
                      <w:vertAlign w:val="baseline"/>
                      <w:lang w:val="en-US" w:eastAsia="zh-CN" w:bidi="ar"/>
                    </w:rPr>
                  </w:pPr>
                  <w:r>
                    <w:rPr>
                      <w:rFonts w:hint="eastAsia" w:ascii="宋体" w:hAnsi="宋体" w:eastAsia="宋体" w:cs="宋体"/>
                      <w:b/>
                      <w:bCs/>
                      <w:color w:val="auto"/>
                      <w:kern w:val="2"/>
                      <w:sz w:val="21"/>
                      <w:szCs w:val="21"/>
                      <w:highlight w:val="none"/>
                      <w:u w:val="none" w:color="auto"/>
                      <w:vertAlign w:val="baseline"/>
                      <w:lang w:val="en-US" w:eastAsia="zh-CN" w:bidi="ar"/>
                    </w:rPr>
                    <w:t>变更内容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val="0"/>
                      <w:bCs w:val="0"/>
                      <w:color w:val="auto"/>
                      <w:kern w:val="2"/>
                      <w:sz w:val="21"/>
                      <w:szCs w:val="21"/>
                      <w:highlight w:val="none"/>
                      <w:u w:val="none" w:color="auto"/>
                      <w:vertAlign w:val="baseline"/>
                      <w:lang w:val="en-US" w:eastAsia="zh-CN" w:bidi="ar"/>
                    </w:rPr>
                  </w:pPr>
                  <w:r>
                    <w:rPr>
                      <w:rFonts w:hint="eastAsia" w:hAnsi="宋体" w:cs="宋体"/>
                      <w:b w:val="0"/>
                      <w:bCs w:val="0"/>
                      <w:color w:val="auto"/>
                      <w:kern w:val="2"/>
                      <w:sz w:val="21"/>
                      <w:szCs w:val="21"/>
                      <w:highlight w:val="none"/>
                      <w:u w:val="none" w:color="auto"/>
                      <w:vertAlign w:val="baseline"/>
                      <w:lang w:val="en-US" w:eastAsia="zh-CN" w:bidi="ar"/>
                    </w:rPr>
                    <w:t>性质</w:t>
                  </w:r>
                </w:p>
              </w:tc>
              <w:tc>
                <w:tcPr>
                  <w:tcW w:w="3486" w:type="pct"/>
                  <w:tcBorders>
                    <w:tl2br w:val="nil"/>
                    <w:tr2bl w:val="nil"/>
                  </w:tcBorders>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val="0"/>
                      <w:bCs w:val="0"/>
                      <w:color w:val="auto"/>
                      <w:kern w:val="2"/>
                      <w:sz w:val="21"/>
                      <w:szCs w:val="21"/>
                      <w:highlight w:val="none"/>
                      <w:u w:val="none" w:color="auto"/>
                      <w:vertAlign w:val="baseline"/>
                      <w:lang w:val="en-US" w:eastAsia="zh-CN" w:bidi="ar"/>
                    </w:rPr>
                  </w:pPr>
                  <w:r>
                    <w:rPr>
                      <w:rFonts w:hint="eastAsia" w:hAnsi="宋体" w:cs="宋体"/>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val="0"/>
                      <w:bCs w:val="0"/>
                      <w:color w:val="auto"/>
                      <w:kern w:val="2"/>
                      <w:sz w:val="21"/>
                      <w:szCs w:val="21"/>
                      <w:highlight w:val="none"/>
                      <w:u w:val="none" w:color="auto"/>
                      <w:vertAlign w:val="baseline"/>
                      <w:lang w:val="en-US" w:eastAsia="zh-CN" w:bidi="ar"/>
                    </w:rPr>
                  </w:pPr>
                  <w:r>
                    <w:rPr>
                      <w:rFonts w:hint="eastAsia" w:hAnsi="宋体" w:cs="宋体"/>
                      <w:b w:val="0"/>
                      <w:bCs w:val="0"/>
                      <w:color w:val="auto"/>
                      <w:kern w:val="2"/>
                      <w:sz w:val="21"/>
                      <w:szCs w:val="21"/>
                      <w:highlight w:val="none"/>
                      <w:u w:val="none" w:color="auto"/>
                      <w:vertAlign w:val="baseline"/>
                      <w:lang w:val="en-US" w:eastAsia="zh-CN" w:bidi="ar"/>
                    </w:rPr>
                    <w:t>规模</w:t>
                  </w:r>
                </w:p>
              </w:tc>
              <w:tc>
                <w:tcPr>
                  <w:tcW w:w="3486" w:type="pct"/>
                  <w:tcBorders>
                    <w:tl2br w:val="nil"/>
                    <w:tr2bl w:val="nil"/>
                  </w:tcBorders>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val="0"/>
                      <w:bCs w:val="0"/>
                      <w:color w:val="auto"/>
                      <w:kern w:val="2"/>
                      <w:sz w:val="21"/>
                      <w:szCs w:val="21"/>
                      <w:highlight w:val="none"/>
                      <w:u w:val="none" w:color="auto"/>
                      <w:vertAlign w:val="baseline"/>
                      <w:lang w:val="en-US" w:eastAsia="zh-CN" w:bidi="ar"/>
                    </w:rPr>
                  </w:pPr>
                  <w:r>
                    <w:rPr>
                      <w:rFonts w:hint="eastAsia" w:hAnsi="宋体" w:cs="宋体"/>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val="0"/>
                      <w:bCs w:val="0"/>
                      <w:color w:val="auto"/>
                      <w:kern w:val="2"/>
                      <w:sz w:val="21"/>
                      <w:szCs w:val="21"/>
                      <w:highlight w:val="none"/>
                      <w:u w:val="none" w:color="auto"/>
                      <w:vertAlign w:val="baseline"/>
                      <w:lang w:val="en-US" w:eastAsia="zh-CN" w:bidi="ar"/>
                    </w:rPr>
                  </w:pPr>
                  <w:r>
                    <w:rPr>
                      <w:rFonts w:hint="eastAsia" w:hAnsi="宋体" w:cs="宋体"/>
                      <w:b w:val="0"/>
                      <w:bCs w:val="0"/>
                      <w:color w:val="auto"/>
                      <w:kern w:val="2"/>
                      <w:sz w:val="21"/>
                      <w:szCs w:val="21"/>
                      <w:highlight w:val="none"/>
                      <w:u w:val="none" w:color="auto"/>
                      <w:vertAlign w:val="baseline"/>
                      <w:lang w:val="en-US" w:eastAsia="zh-CN" w:bidi="ar"/>
                    </w:rPr>
                    <w:t>地点</w:t>
                  </w:r>
                </w:p>
              </w:tc>
              <w:tc>
                <w:tcPr>
                  <w:tcW w:w="3486" w:type="pct"/>
                  <w:tcBorders>
                    <w:tl2br w:val="nil"/>
                    <w:tr2bl w:val="nil"/>
                  </w:tcBorders>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val="0"/>
                      <w:bCs w:val="0"/>
                      <w:color w:val="auto"/>
                      <w:kern w:val="2"/>
                      <w:sz w:val="21"/>
                      <w:szCs w:val="21"/>
                      <w:highlight w:val="none"/>
                      <w:u w:val="none" w:color="auto"/>
                      <w:vertAlign w:val="baseline"/>
                      <w:lang w:val="en-US" w:eastAsia="zh-CN" w:bidi="ar"/>
                    </w:rPr>
                  </w:pPr>
                  <w:r>
                    <w:rPr>
                      <w:rFonts w:hint="eastAsia" w:hAnsi="宋体" w:cs="宋体"/>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13" w:type="pct"/>
                  <w:tcBorders>
                    <w:tl2br w:val="nil"/>
                    <w:tr2bl w:val="nil"/>
                  </w:tcBorders>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hAnsi="宋体" w:cs="宋体"/>
                      <w:b w:val="0"/>
                      <w:bCs w:val="0"/>
                      <w:color w:val="auto"/>
                      <w:kern w:val="2"/>
                      <w:sz w:val="21"/>
                      <w:szCs w:val="21"/>
                      <w:highlight w:val="none"/>
                      <w:u w:val="none" w:color="auto"/>
                      <w:vertAlign w:val="baseline"/>
                      <w:lang w:val="en-US" w:eastAsia="zh-CN" w:bidi="ar"/>
                    </w:rPr>
                  </w:pPr>
                  <w:r>
                    <w:rPr>
                      <w:rFonts w:hint="eastAsia" w:hAnsi="宋体" w:cs="宋体"/>
                      <w:b w:val="0"/>
                      <w:bCs w:val="0"/>
                      <w:color w:val="auto"/>
                      <w:kern w:val="2"/>
                      <w:sz w:val="21"/>
                      <w:szCs w:val="21"/>
                      <w:highlight w:val="none"/>
                      <w:u w:val="none" w:color="auto"/>
                      <w:vertAlign w:val="baseline"/>
                      <w:lang w:val="en-US" w:eastAsia="zh-CN" w:bidi="ar"/>
                    </w:rPr>
                    <w:t>工艺</w:t>
                  </w:r>
                </w:p>
              </w:tc>
              <w:tc>
                <w:tcPr>
                  <w:tcW w:w="3486" w:type="pct"/>
                  <w:tcBorders>
                    <w:tl2br w:val="nil"/>
                    <w:tr2bl w:val="nil"/>
                  </w:tcBorders>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val="0"/>
                      <w:bCs w:val="0"/>
                      <w:color w:val="auto"/>
                      <w:kern w:val="2"/>
                      <w:sz w:val="21"/>
                      <w:szCs w:val="21"/>
                      <w:highlight w:val="none"/>
                      <w:u w:val="none" w:color="auto"/>
                      <w:vertAlign w:val="baseline"/>
                      <w:lang w:val="en-US" w:eastAsia="zh-CN" w:bidi="ar"/>
                    </w:rPr>
                  </w:pPr>
                  <w:r>
                    <w:rPr>
                      <w:rFonts w:hint="eastAsia" w:hAnsi="宋体" w:cs="宋体"/>
                      <w:b w:val="0"/>
                      <w:bCs w:val="0"/>
                      <w:color w:val="auto"/>
                      <w:kern w:val="2"/>
                      <w:sz w:val="21"/>
                      <w:szCs w:val="21"/>
                      <w:highlight w:val="none"/>
                      <w:u w:val="none" w:color="auto"/>
                      <w:vertAlign w:val="baseline"/>
                      <w:lang w:val="en-US" w:eastAsia="zh-CN" w:bidi="ar"/>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513" w:type="pct"/>
                  <w:tcBorders>
                    <w:tl2br w:val="nil"/>
                    <w:tr2bl w:val="nil"/>
                  </w:tcBorders>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val="0"/>
                      <w:bCs w:val="0"/>
                      <w:color w:val="auto"/>
                      <w:kern w:val="2"/>
                      <w:sz w:val="21"/>
                      <w:szCs w:val="21"/>
                      <w:highlight w:val="none"/>
                      <w:u w:val="none" w:color="auto"/>
                      <w:vertAlign w:val="baseline"/>
                      <w:lang w:val="en-US" w:eastAsia="zh-CN" w:bidi="ar"/>
                    </w:rPr>
                  </w:pPr>
                  <w:r>
                    <w:rPr>
                      <w:rFonts w:hint="eastAsia" w:hAnsi="宋体" w:cs="宋体"/>
                      <w:b w:val="0"/>
                      <w:bCs w:val="0"/>
                      <w:color w:val="auto"/>
                      <w:kern w:val="2"/>
                      <w:sz w:val="21"/>
                      <w:szCs w:val="21"/>
                      <w:highlight w:val="none"/>
                      <w:u w:val="none" w:color="auto"/>
                      <w:vertAlign w:val="baseline"/>
                      <w:lang w:val="en-US" w:eastAsia="zh-CN" w:bidi="ar"/>
                    </w:rPr>
                    <w:t>环保</w:t>
                  </w:r>
                </w:p>
              </w:tc>
              <w:tc>
                <w:tcPr>
                  <w:tcW w:w="3486" w:type="pct"/>
                  <w:tcBorders>
                    <w:tl2br w:val="nil"/>
                    <w:tr2bl w:val="nil"/>
                  </w:tcBorders>
                  <w:vAlign w:val="center"/>
                </w:tcPr>
                <w:p>
                  <w:pPr>
                    <w:pStyle w:val="19"/>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val="0"/>
                      <w:bCs w:val="0"/>
                      <w:color w:val="auto"/>
                      <w:kern w:val="2"/>
                      <w:sz w:val="21"/>
                      <w:szCs w:val="21"/>
                      <w:highlight w:val="none"/>
                      <w:u w:val="none" w:color="auto"/>
                      <w:vertAlign w:val="baseline"/>
                      <w:lang w:val="en-US" w:eastAsia="zh-CN" w:bidi="ar"/>
                    </w:rPr>
                  </w:pPr>
                  <w:r>
                    <w:rPr>
                      <w:rFonts w:hint="eastAsia" w:hAnsi="宋体" w:cs="宋体"/>
                      <w:b w:val="0"/>
                      <w:bCs w:val="0"/>
                      <w:color w:val="auto"/>
                      <w:kern w:val="2"/>
                      <w:sz w:val="21"/>
                      <w:szCs w:val="21"/>
                      <w:highlight w:val="none"/>
                      <w:u w:val="none" w:color="auto"/>
                      <w:vertAlign w:val="baseline"/>
                      <w:lang w:val="en-US" w:eastAsia="zh-CN" w:bidi="ar"/>
                    </w:rPr>
                    <w:t>与环评一致</w:t>
                  </w:r>
                </w:p>
              </w:tc>
            </w:tr>
          </w:tbl>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lang w:val="en-US" w:eastAsia="zh-CN"/>
              </w:rPr>
            </w:pPr>
            <w:r>
              <w:rPr>
                <w:rFonts w:hint="eastAsia" w:ascii="宋体" w:hAnsi="宋体" w:eastAsia="宋体" w:cs="宋体"/>
                <w:color w:val="auto"/>
                <w:kern w:val="0"/>
                <w:sz w:val="24"/>
                <w:szCs w:val="24"/>
                <w:lang w:val="en-US" w:eastAsia="zh-CN" w:bidi="ar-SA"/>
              </w:rPr>
              <w:t>根据上表分析内容可以看出，项目建设性质、建设规模、建设地点、处理工艺模及环保设施未发生明显改动，公司在实际建设过程中基本按照项目环评报告和批复文件要求落实建设，无较大变更内容，故项目</w:t>
            </w:r>
            <w:r>
              <w:rPr>
                <w:rFonts w:hint="default" w:ascii="Times New Roman" w:hAnsi="Times New Roman" w:eastAsia="宋体" w:cs="Times New Roman"/>
                <w:spacing w:val="-4"/>
                <w:sz w:val="24"/>
                <w:szCs w:val="24"/>
              </w:rPr>
              <w:t>符合竣工环境保护验收条件</w:t>
            </w:r>
            <w:r>
              <w:rPr>
                <w:rFonts w:hint="eastAsia" w:ascii="宋体" w:hAnsi="宋体" w:eastAsia="宋体" w:cs="宋体"/>
                <w:color w:val="auto"/>
                <w:kern w:val="0"/>
                <w:sz w:val="24"/>
                <w:szCs w:val="24"/>
                <w:lang w:val="en-US" w:eastAsia="zh-CN" w:bidi="ar-SA"/>
              </w:rPr>
              <w:t>。</w:t>
            </w:r>
          </w:p>
        </w:tc>
      </w:tr>
    </w:tbl>
    <w:p>
      <w:pPr>
        <w:widowControl/>
        <w:autoSpaceDE/>
        <w:autoSpaceDN/>
        <w:rPr>
          <w:lang w:eastAsia="zh-CN"/>
        </w:rPr>
      </w:pPr>
      <w:r>
        <w:rPr>
          <w:lang w:eastAsia="zh-CN"/>
        </w:rPr>
        <w:br w:type="page"/>
      </w:r>
    </w:p>
    <w:p>
      <w:pPr>
        <w:pStyle w:val="2"/>
        <w:rPr>
          <w:rFonts w:ascii="Times New Roman" w:hAnsi="Times New Roman" w:eastAsia="宋体" w:cs="Times New Roman"/>
          <w:b/>
          <w:lang w:eastAsia="zh-CN"/>
        </w:rPr>
      </w:pPr>
      <w:r>
        <w:rPr>
          <w:rFonts w:ascii="Times New Roman" w:hAnsi="Times New Roman" w:eastAsia="宋体" w:cs="Times New Roman"/>
          <w:b/>
        </w:rPr>
        <w:t>表</w:t>
      </w:r>
      <w:r>
        <w:rPr>
          <w:rFonts w:ascii="Times New Roman" w:hAnsi="Times New Roman" w:eastAsia="宋体" w:cs="Times New Roman"/>
          <w:b/>
          <w:lang w:eastAsia="zh-CN"/>
        </w:rPr>
        <w:t>四</w:t>
      </w:r>
    </w:p>
    <w:tbl>
      <w:tblPr>
        <w:tblStyle w:val="1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6" w:hRule="atLeast"/>
          <w:jc w:val="center"/>
        </w:trPr>
        <w:tc>
          <w:tcPr>
            <w:tcW w:w="9039" w:type="dxa"/>
          </w:tcPr>
          <w:p>
            <w:pPr>
              <w:pStyle w:val="2"/>
              <w:keepNext w:val="0"/>
              <w:keepLines w:val="0"/>
              <w:pageBreakBefore w:val="0"/>
              <w:widowControl w:val="0"/>
              <w:kinsoku/>
              <w:wordWrap/>
              <w:overflowPunct/>
              <w:topLinePunct w:val="0"/>
              <w:bidi w:val="0"/>
              <w:adjustRightInd/>
              <w:snapToGrid/>
              <w:spacing w:line="360" w:lineRule="auto"/>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建设项目环境影响报告主要结论及审批部门审批决定：</w:t>
            </w:r>
          </w:p>
          <w:p>
            <w:pPr>
              <w:keepNext w:val="0"/>
              <w:keepLines w:val="0"/>
              <w:pageBreakBefore w:val="0"/>
              <w:widowControl w:val="0"/>
              <w:kinsoku/>
              <w:wordWrap/>
              <w:overflowPunct/>
              <w:topLinePunct w:val="0"/>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环境影响报告表主要结论：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对照《炼油事业部污水预处理装置臭气及VOCs治理项目、苯乙烯中间罐区及装车站台VOCs治理项目建设项目环境影响报告表》，环评结论与建议见表11。</w:t>
            </w:r>
          </w:p>
          <w:p>
            <w:pPr>
              <w:spacing w:line="360" w:lineRule="auto"/>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表11  环评结论与建议一览表</w:t>
            </w:r>
          </w:p>
          <w:tbl>
            <w:tblPr>
              <w:tblStyle w:val="1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81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shd w:val="clear" w:color="auto" w:fill="D7D7D7" w:themeFill="background1" w:themeFillShade="D8"/>
                  <w:vAlign w:val="center"/>
                </w:tcPr>
                <w:p>
                  <w:pPr>
                    <w:pStyle w:val="2"/>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项目</w:t>
                  </w:r>
                </w:p>
              </w:tc>
              <w:tc>
                <w:tcPr>
                  <w:tcW w:w="4615" w:type="pct"/>
                  <w:tcBorders>
                    <w:tl2br w:val="nil"/>
                    <w:tr2bl w:val="nil"/>
                  </w:tcBorders>
                  <w:shd w:val="clear" w:color="auto" w:fill="D7D7D7" w:themeFill="background1" w:themeFillShade="D8"/>
                  <w:vAlign w:val="center"/>
                </w:tcPr>
                <w:p>
                  <w:pPr>
                    <w:pStyle w:val="2"/>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环境影响评价报告表相关要求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废气</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炼油事业部产生废气的区域主要为污水预处理厂、苯乙烯中间罐区、装卸站台、原油区脱水井、中间罐区轻质油罐组等装置，废气主要组分为苯、甲苯、二甲苯、总烃、H</w:t>
                  </w:r>
                  <w:r>
                    <w:rPr>
                      <w:rFonts w:hint="default" w:ascii="Times New Roman" w:hAnsi="Times New Roman" w:eastAsia="宋体" w:cs="Times New Roman"/>
                      <w:sz w:val="21"/>
                      <w:szCs w:val="21"/>
                      <w:vertAlign w:val="subscript"/>
                      <w:lang w:val="en-US" w:eastAsia="zh-CN"/>
                    </w:rPr>
                    <w:t>2</w:t>
                  </w:r>
                  <w:r>
                    <w:rPr>
                      <w:rFonts w:hint="default" w:ascii="Times New Roman" w:hAnsi="Times New Roman" w:eastAsia="宋体" w:cs="Times New Roman"/>
                      <w:sz w:val="21"/>
                      <w:szCs w:val="21"/>
                      <w:lang w:val="en-US" w:eastAsia="zh-CN"/>
                    </w:rPr>
                    <w:t>S、甲硫醇和乙硫醇。本次技改对有机废气选择高温燃烧+换热法进行处理，并配套建设脱硫设施。</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废气经集气罩收集后引至对应热氧化炉装置内进行处理，热氧化炉对有机物的去除效率为≥99%，待“烟气→烟气脱硫系统→引风机→排气筒”流程完成后经30m高的排气筒达标排放。排放尾气中苯≤4mg/m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，二甲苯≤20mg/m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，甲苯≤15mg/m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,，非甲烷总烃≤120mg/m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,，NOx≤150 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，颗粒物≤20mg/Nm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，SO2≤50mg/m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，均满足《石油化学工业污染物排放标准》(GB 31571-2015)中大气污染物排放限值。</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综上所述，项目采取以上措施后，无组织排放的VOCs废气将转变为有组织排放，对周围环境影响减小。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vAlign w:val="center"/>
                </w:tcPr>
                <w:p>
                  <w:pPr>
                    <w:pStyle w:val="2"/>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废水</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无新增劳动定员，无新增生活污水。脱硫塔采用湿法脱硫技术，产生的少量含盐废水和烟气预热器冲洗废水，项目废水先排到催化裂化烟气脱硫一起去回用，回用后与烟气脱硫废水一起送入巴陵石化企业自建污水处理厂处理后达标排放。</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项目在建设及运营期间不对场地已建成防渗地面进行破土动工，在利用已修建场地防渗措施情况下，对周边地下水环境造成的影响较小。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4"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主要噪声源为风机等设备运行时产生的噪声，声级值在75~85dB(A)之间。通过选用低噪声设备、基础减振、安装隔声罩、厂房隔声等措施，再经距离衰减后，运营期厂界噪声满足《工业企业厂界环境噪声排放标准》（GB12348-2008）中3类标准要求。</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综上，本项目对区域声环境产生影响较小。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384"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固体废物</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项目运营期不产生固废，项目无新增定员，生活垃圾不新增。</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故本项目固体废物对周围环境影响较小。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0" w:hRule="atLeast"/>
              </w:trPr>
              <w:tc>
                <w:tcPr>
                  <w:tcW w:w="384"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环评建议</w:t>
                  </w:r>
                </w:p>
              </w:tc>
              <w:tc>
                <w:tcPr>
                  <w:tcW w:w="461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为保护环境，确保环保设施正常运行和污染物达标排放，针对工程特点，本评价提出如下要求与建议：</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（1）严格贯彻落实项目建设“三同时”制度；</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（2）搞好日常环境管理工作，加强环境保护宣传力度，提高职工环保意识。</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（3）定期检查，确保燃烧后尾气处理装置的正常运行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0" w:hRule="atLeast"/>
              </w:trPr>
              <w:tc>
                <w:tcPr>
                  <w:tcW w:w="384" w:type="pct"/>
                  <w:tcBorders>
                    <w:tl2br w:val="nil"/>
                    <w:tr2bl w:val="nil"/>
                  </w:tcBorders>
                  <w:vAlign w:val="center"/>
                </w:tcPr>
                <w:p>
                  <w:pPr>
                    <w:pStyle w:val="2"/>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环评结论</w:t>
                  </w:r>
                </w:p>
              </w:tc>
              <w:tc>
                <w:tcPr>
                  <w:tcW w:w="4615" w:type="pct"/>
                  <w:tcBorders>
                    <w:tl2br w:val="nil"/>
                    <w:tr2bl w:val="nil"/>
                  </w:tcBorders>
                  <w:vAlign w:val="center"/>
                </w:tcPr>
                <w:p>
                  <w:pPr>
                    <w:pStyle w:val="2"/>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 xml:space="preserve">    综上所述，巴陵石化分公司投资1714.87万元在岳阳市云溪区巴陵石化分公司炼油事业部开展的污水预处理装置臭气及VOCs治理项目、苯乙烯中间罐区及装车站台VOCs治理项目的建设符合国家产业政策和土地利用规划，选址合理，总平面布置基本合理。通过评价分析，建设单位在落实本环评报告表提出的污染物防治措施的前提下，污染物可实现达标排放，能有效改善区域环境质量。从环境保护角度分析，该项目建设是可行的。</w:t>
                  </w:r>
                </w:p>
              </w:tc>
            </w:tr>
          </w:tbl>
          <w:p>
            <w:pPr>
              <w:widowControl/>
              <w:spacing w:line="360" w:lineRule="auto"/>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审批部门审批决定：</w:t>
            </w:r>
          </w:p>
          <w:p>
            <w:pPr>
              <w:pStyle w:val="2"/>
              <w:keepNext w:val="0"/>
              <w:keepLines w:val="0"/>
              <w:pageBreakBefore w:val="0"/>
              <w:kinsoku/>
              <w:wordWrap/>
              <w:overflowPunct/>
              <w:topLinePunct w:val="0"/>
              <w:autoSpaceDE w:val="0"/>
              <w:autoSpaceDN w:val="0"/>
              <w:bidi w:val="0"/>
              <w:adjustRightInd/>
              <w:snapToGrid/>
              <w:spacing w:line="360" w:lineRule="auto"/>
              <w:ind w:right="224"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岳阳市生态环境局云溪区分局以“岳环云分评〔201</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lang w:eastAsia="zh-CN"/>
              </w:rPr>
              <w:t>号”文件对中国石化集团资产经营管理有限公司巴陵石化分公司</w:t>
            </w:r>
            <w:r>
              <w:rPr>
                <w:rFonts w:hint="default" w:ascii="Times New Roman" w:hAnsi="Times New Roman" w:eastAsia="宋体" w:cs="Times New Roman"/>
                <w:sz w:val="24"/>
                <w:szCs w:val="24"/>
              </w:rPr>
              <w:t>炼</w:t>
            </w:r>
            <w:r>
              <w:rPr>
                <w:rFonts w:hint="default" w:ascii="Times New Roman" w:hAnsi="Times New Roman" w:eastAsia="宋体" w:cs="Times New Roman"/>
                <w:sz w:val="24"/>
                <w:szCs w:val="24"/>
                <w:lang w:eastAsia="zh-CN"/>
              </w:rPr>
              <w:t>油事业部开展的污水预处理装置臭气及VOCs治理项目、苯乙烯中间罐区及装车站台VOCs治理项目环境影响报告表进行批复。批复的内容如下：</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项目在全面落实环境影响报告表所提出的各项污染防治措施的同时，还应注意以下内容：</w:t>
            </w:r>
          </w:p>
          <w:p>
            <w:pPr>
              <w:keepNext w:val="0"/>
              <w:keepLines w:val="0"/>
              <w:pageBreakBefore w:val="0"/>
              <w:widowControl/>
              <w:numPr>
                <w:ilvl w:val="0"/>
                <w:numId w:val="3"/>
              </w:numPr>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废气污染防治工作。产生的废气主要是热氧化炉处理收集废气后产生的处理尾气。尾气以氢氧化钠为脱硫剂，使用湿法脱硫技术，并加入一级喷淋吸附装置，最后经引风机通过30m高排气简排放，要求尾气排放满足《石油化学工业污染物排放标准》(GB31571-2015)中表4相关污染物排放限值要求。</w:t>
            </w:r>
          </w:p>
          <w:p>
            <w:pPr>
              <w:keepNext w:val="0"/>
              <w:keepLines w:val="0"/>
              <w:pageBreakBefore w:val="0"/>
              <w:widowControl/>
              <w:numPr>
                <w:ilvl w:val="0"/>
                <w:numId w:val="3"/>
              </w:numPr>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废水污染防治工作。项目不新增定员，不新增生活污水;项目产生少量的含盐废水和烟气预热器冲洗废水，经现场烟气脱硫装置回收利用后送入巴陵石化企业自建污水处理厂处理，达《石油化学工业污染物排放标准》(GB31571-2015)表1中水污染物排放限值标准后排入长江。</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噪声污染防治工作。采用低噪声设备，对产生噪声的设备和工序进行合理布局，采取基础减振、车间墙体隔音、加强管理等措施，确保厂界噪声满足《工业企业厂界环境噪声排放标准》(GB12348-2008)中的3类标准要求。</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4、固体废物污染防治工作。按照“无害化、资源化、减量化”原则，对固体废物实施分类管理、综合利用和安全处置。产生的固体废物主要是废旧包装、建筑垃圾等，运营期无固体废物产生。废旧包装定期收集后联系生产厂家回收利用;建筑垃圾集中收集后统一外运至建筑垃圾填埋场安全处置。项目不产生危险废物，所有固体废物均按照《一般工业固体废物贮存、处置场污染控制标准》( GB18599-2001 )及修改单中有关规定进行安全有效处理。</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5、加强营运期风险防范，落实各项风险防范措施。严格按照《突发环境事件应急预案管理暂行办法》制定事故环境应急预案，杜绝环境风险事故的发生。</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6、加强环境管理，建立健全污染防治设施运行管理台帐，设专门的环保机构及环保人员，确保各项污染防治设施的正常运行，各类污染物稳定达标排放。</w:t>
            </w:r>
          </w:p>
          <w:p>
            <w:pPr>
              <w:pStyle w:val="23"/>
              <w:spacing w:before="7" w:line="360" w:lineRule="auto"/>
              <w:ind w:left="107" w:right="164" w:firstLine="480"/>
              <w:jc w:val="left"/>
              <w:rPr>
                <w:rFonts w:hint="default" w:ascii="Times New Roman" w:hAnsi="Times New Roman" w:eastAsia="宋体" w:cs="Times New Roman"/>
                <w:sz w:val="24"/>
                <w:szCs w:val="24"/>
                <w:lang w:eastAsia="zh-CN"/>
              </w:rPr>
            </w:pPr>
          </w:p>
          <w:p>
            <w:pPr>
              <w:bidi w:val="0"/>
              <w:rPr>
                <w:rFonts w:hint="default" w:ascii="Times New Roman" w:hAnsi="Times New Roman" w:eastAsia="宋体" w:cs="Times New Roman"/>
                <w:sz w:val="24"/>
                <w:szCs w:val="24"/>
                <w:lang w:eastAsia="zh-CN"/>
              </w:rPr>
            </w:pPr>
          </w:p>
          <w:p>
            <w:pPr>
              <w:bidi w:val="0"/>
              <w:rPr>
                <w:rFonts w:hint="default" w:ascii="Times New Roman" w:hAnsi="Times New Roman" w:eastAsia="宋体" w:cs="Times New Roman"/>
                <w:sz w:val="24"/>
                <w:szCs w:val="24"/>
                <w:lang w:eastAsia="zh-CN"/>
              </w:rPr>
            </w:pPr>
          </w:p>
          <w:p>
            <w:pPr>
              <w:bidi w:val="0"/>
              <w:rPr>
                <w:rFonts w:hint="default" w:ascii="Times New Roman" w:hAnsi="Times New Roman" w:eastAsia="宋体" w:cs="Times New Roman"/>
                <w:sz w:val="24"/>
                <w:szCs w:val="24"/>
                <w:lang w:eastAsia="zh-CN"/>
              </w:rPr>
            </w:pPr>
          </w:p>
          <w:p>
            <w:pPr>
              <w:bidi w:val="0"/>
              <w:rPr>
                <w:rFonts w:hint="default" w:ascii="Times New Roman" w:hAnsi="Times New Roman" w:eastAsia="宋体" w:cs="Times New Roman"/>
                <w:sz w:val="24"/>
                <w:szCs w:val="24"/>
                <w:lang w:eastAsia="zh-CN"/>
              </w:rPr>
            </w:pPr>
          </w:p>
          <w:p>
            <w:pPr>
              <w:bidi w:val="0"/>
              <w:rPr>
                <w:rFonts w:hint="default" w:ascii="Times New Roman" w:hAnsi="Times New Roman" w:eastAsia="宋体" w:cs="Times New Roman"/>
                <w:sz w:val="24"/>
                <w:szCs w:val="24"/>
                <w:lang w:eastAsia="zh-CN"/>
              </w:rPr>
            </w:pPr>
          </w:p>
          <w:p>
            <w:pPr>
              <w:bidi w:val="0"/>
              <w:rPr>
                <w:rFonts w:hint="default" w:ascii="Times New Roman" w:hAnsi="Times New Roman" w:eastAsia="宋体" w:cs="Times New Roman"/>
                <w:sz w:val="24"/>
                <w:szCs w:val="24"/>
                <w:lang w:eastAsia="zh-CN"/>
              </w:rPr>
            </w:pPr>
          </w:p>
          <w:p>
            <w:pPr>
              <w:bidi w:val="0"/>
              <w:rPr>
                <w:rFonts w:hint="default" w:ascii="Times New Roman" w:hAnsi="Times New Roman" w:eastAsia="宋体" w:cs="Times New Roman"/>
                <w:sz w:val="24"/>
                <w:szCs w:val="24"/>
                <w:lang w:eastAsia="zh-CN"/>
              </w:rPr>
            </w:pPr>
          </w:p>
          <w:p>
            <w:pPr>
              <w:tabs>
                <w:tab w:val="left" w:pos="902"/>
              </w:tabs>
              <w:bidi w:val="0"/>
              <w:jc w:val="left"/>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ab/>
            </w:r>
          </w:p>
          <w:p>
            <w:pPr>
              <w:pStyle w:val="19"/>
              <w:rPr>
                <w:rFonts w:hint="default" w:ascii="Times New Roman" w:hAnsi="Times New Roman" w:eastAsia="宋体" w:cs="Times New Roman"/>
                <w:sz w:val="24"/>
                <w:szCs w:val="24"/>
                <w:lang w:eastAsia="zh-CN"/>
              </w:rPr>
            </w:pPr>
          </w:p>
          <w:p>
            <w:pPr>
              <w:pStyle w:val="19"/>
              <w:rPr>
                <w:rFonts w:hint="default" w:ascii="Times New Roman" w:hAnsi="Times New Roman" w:eastAsia="宋体" w:cs="Times New Roman"/>
                <w:sz w:val="24"/>
                <w:szCs w:val="24"/>
                <w:lang w:eastAsia="zh-CN"/>
              </w:rPr>
            </w:pPr>
          </w:p>
          <w:p>
            <w:pPr>
              <w:pStyle w:val="19"/>
              <w:rPr>
                <w:rFonts w:hint="default" w:ascii="Times New Roman" w:hAnsi="Times New Roman" w:eastAsia="宋体" w:cs="Times New Roman"/>
                <w:sz w:val="24"/>
                <w:szCs w:val="24"/>
                <w:lang w:eastAsia="zh-CN"/>
              </w:rPr>
            </w:pPr>
          </w:p>
        </w:tc>
      </w:tr>
    </w:tbl>
    <w:p>
      <w:pPr>
        <w:pStyle w:val="2"/>
        <w:rPr>
          <w:lang w:eastAsia="zh-CN"/>
        </w:rPr>
      </w:pPr>
      <w:r>
        <w:rPr>
          <w:lang w:eastAsia="zh-CN"/>
        </w:rPr>
        <w:br w:type="page"/>
      </w:r>
    </w:p>
    <w:p>
      <w:pPr>
        <w:spacing w:line="386" w:lineRule="exact"/>
        <w:rPr>
          <w:rFonts w:ascii="Times New Roman" w:hAnsi="Times New Roman" w:eastAsia="宋体" w:cs="Times New Roman"/>
          <w:b/>
          <w:sz w:val="24"/>
          <w:szCs w:val="24"/>
          <w:lang w:eastAsia="zh-CN"/>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lang w:eastAsia="zh-CN"/>
        </w:rPr>
        <w:t>五</w:t>
      </w:r>
    </w:p>
    <w:tbl>
      <w:tblPr>
        <w:tblStyle w:val="17"/>
        <w:tblW w:w="5000" w:type="pct"/>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5000" w:type="pct"/>
            <w:tcBorders>
              <w:tl2br w:val="nil"/>
              <w:tr2bl w:val="nil"/>
            </w:tcBorders>
          </w:tcPr>
          <w:p>
            <w:pPr>
              <w:pStyle w:val="23"/>
              <w:keepNext w:val="0"/>
              <w:keepLines w:val="0"/>
              <w:pageBreakBefore w:val="0"/>
              <w:widowControl w:val="0"/>
              <w:kinsoku/>
              <w:wordWrap/>
              <w:overflowPunct/>
              <w:topLinePunct w:val="0"/>
              <w:autoSpaceDE w:val="0"/>
              <w:autoSpaceDN w:val="0"/>
              <w:bidi w:val="0"/>
              <w:adjustRightInd/>
              <w:snapToGrid/>
              <w:spacing w:before="7" w:line="360" w:lineRule="auto"/>
              <w:ind w:right="164"/>
              <w:jc w:val="left"/>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验收监测质量保证及质量控制：</w:t>
            </w:r>
          </w:p>
          <w:p>
            <w:pPr>
              <w:pStyle w:val="23"/>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1、人员能力</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参加本次验收监测人员包括（鲁海霞），监测人员经考核并持有合格证书。</w:t>
            </w:r>
          </w:p>
          <w:p>
            <w:pPr>
              <w:pStyle w:val="23"/>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2、水质监测分析过程中的质量保证和质量控制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水样的采集、运输、保存、实验室分析和数据计算的全过程均按照国家颁布的标准分析方法和《水质监测质量保证手册》、《水和废水监测分析方法》（第四版）及有关规范要求进行。采样过程采集不少于10%的平行样；实验室分析过程不少于10%的平行样；可以得到标准样品或质量控制样品的项目，同时分析10%的质控样品；对无标准样品或质量控制样品的项目，同时做10%的加标回收样品分析，确保水质监测结果真实可靠，本次验收监测质量保证单见附件。</w:t>
            </w:r>
          </w:p>
          <w:p>
            <w:pPr>
              <w:pStyle w:val="23"/>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3、气体监测分析过程中的质量保证和质量控制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废气采样、监测分析按照国家颁布的标准分析方法和《空气质量保证手册》、《空气和废气监测分析方法》及有关规范进行采样，保证被测污染因子浓度在仪器测试量程的有效范围，大气采样器在进入现场前对流量计、流速仪进行校准，本次验收监测质量保证单见附件。</w:t>
            </w:r>
          </w:p>
          <w:p>
            <w:pPr>
              <w:pStyle w:val="23"/>
              <w:keepNext w:val="0"/>
              <w:keepLines w:val="0"/>
              <w:pageBreakBefore w:val="0"/>
              <w:widowControl w:val="0"/>
              <w:kinsoku/>
              <w:wordWrap/>
              <w:overflowPunct/>
              <w:topLinePunct w:val="0"/>
              <w:autoSpaceDE w:val="0"/>
              <w:autoSpaceDN w:val="0"/>
              <w:bidi w:val="0"/>
              <w:adjustRightInd/>
              <w:snapToGrid/>
              <w:spacing w:before="7" w:line="360" w:lineRule="auto"/>
              <w:ind w:right="164" w:firstLine="480" w:firstLineChars="200"/>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4、噪声监测分析过程中的质量保证和质量控制</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所用分析仪器经过计量检定和校准；现场监测仪器使用前都经过了校准噪声监测严格按照《环境监测技术规范》（噪声监测部分）、《工业企业厂界环境噪声排放标准》（GB12348-2008）的有关规定进行监测，本次验收监测质量保证单见附件。</w:t>
            </w:r>
          </w:p>
          <w:p>
            <w:pPr>
              <w:pStyle w:val="19"/>
              <w:jc w:val="both"/>
              <w:rPr>
                <w:rFonts w:hint="default" w:ascii="Times New Roman" w:hAnsi="Times New Roman" w:cs="Times New Roman"/>
                <w:sz w:val="24"/>
                <w:szCs w:val="24"/>
                <w:lang w:val="en-US" w:eastAsia="zh-CN"/>
              </w:rPr>
            </w:pPr>
          </w:p>
          <w:p>
            <w:pPr>
              <w:pStyle w:val="19"/>
              <w:jc w:val="both"/>
              <w:rPr>
                <w:rFonts w:hint="default" w:ascii="Times New Roman" w:hAnsi="Times New Roman" w:cs="Times New Roman"/>
                <w:sz w:val="24"/>
                <w:szCs w:val="24"/>
                <w:lang w:val="en-US" w:eastAsia="zh-CN"/>
              </w:rPr>
            </w:pPr>
          </w:p>
          <w:p>
            <w:pPr>
              <w:pStyle w:val="19"/>
              <w:jc w:val="both"/>
              <w:rPr>
                <w:rFonts w:hint="default" w:ascii="Times New Roman" w:hAnsi="Times New Roman" w:cs="Times New Roman"/>
                <w:sz w:val="24"/>
                <w:szCs w:val="24"/>
                <w:lang w:val="en-US" w:eastAsia="zh-CN"/>
              </w:rPr>
            </w:pPr>
          </w:p>
          <w:p>
            <w:pPr>
              <w:pStyle w:val="19"/>
              <w:jc w:val="both"/>
              <w:rPr>
                <w:rFonts w:hint="eastAsia"/>
                <w:lang w:val="en-US" w:eastAsia="zh-CN"/>
              </w:rPr>
            </w:pPr>
          </w:p>
          <w:p>
            <w:pPr>
              <w:pStyle w:val="19"/>
              <w:jc w:val="both"/>
              <w:rPr>
                <w:rFonts w:hint="eastAsia"/>
                <w:lang w:val="en-US" w:eastAsia="zh-CN"/>
              </w:rPr>
            </w:pPr>
          </w:p>
          <w:p>
            <w:pPr>
              <w:pStyle w:val="19"/>
              <w:jc w:val="both"/>
              <w:rPr>
                <w:rFonts w:hint="eastAsia"/>
                <w:lang w:val="en-US" w:eastAsia="zh-CN"/>
              </w:rPr>
            </w:pPr>
          </w:p>
          <w:p>
            <w:pPr>
              <w:pStyle w:val="19"/>
              <w:jc w:val="both"/>
              <w:rPr>
                <w:rFonts w:hint="eastAsia"/>
                <w:lang w:val="en-US" w:eastAsia="zh-CN"/>
              </w:rPr>
            </w:pPr>
          </w:p>
          <w:p>
            <w:pPr>
              <w:pStyle w:val="19"/>
              <w:jc w:val="both"/>
              <w:rPr>
                <w:rFonts w:hint="eastAsia"/>
                <w:lang w:val="en-US" w:eastAsia="zh-CN"/>
              </w:rPr>
            </w:pPr>
          </w:p>
          <w:p>
            <w:pPr>
              <w:pStyle w:val="19"/>
              <w:jc w:val="both"/>
              <w:rPr>
                <w:rFonts w:hint="eastAsia"/>
                <w:lang w:val="en-US" w:eastAsia="zh-CN"/>
              </w:rPr>
            </w:pPr>
          </w:p>
          <w:p>
            <w:pPr>
              <w:pStyle w:val="19"/>
              <w:jc w:val="both"/>
              <w:rPr>
                <w:rFonts w:hint="eastAsia"/>
                <w:lang w:eastAsia="zh-CN"/>
              </w:rPr>
            </w:pPr>
          </w:p>
          <w:p>
            <w:pPr>
              <w:pStyle w:val="19"/>
              <w:jc w:val="both"/>
              <w:rPr>
                <w:rFonts w:hint="eastAsia"/>
                <w:lang w:eastAsia="zh-CN"/>
              </w:rPr>
            </w:pPr>
          </w:p>
          <w:p>
            <w:pPr>
              <w:pStyle w:val="19"/>
              <w:jc w:val="both"/>
              <w:rPr>
                <w:rFonts w:hint="eastAsia"/>
                <w:lang w:eastAsia="zh-CN"/>
              </w:rPr>
            </w:pPr>
          </w:p>
          <w:p>
            <w:pPr>
              <w:pStyle w:val="19"/>
              <w:jc w:val="both"/>
              <w:rPr>
                <w:rFonts w:hint="eastAsia"/>
                <w:lang w:eastAsia="zh-CN"/>
              </w:rPr>
            </w:pPr>
          </w:p>
        </w:tc>
      </w:tr>
    </w:tbl>
    <w:p>
      <w:pPr>
        <w:widowControl/>
        <w:autoSpaceDE/>
        <w:autoSpaceDN/>
        <w:rPr>
          <w:lang w:eastAsia="zh-CN"/>
        </w:rPr>
      </w:pPr>
      <w:r>
        <w:rPr>
          <w:lang w:eastAsia="zh-CN"/>
        </w:rPr>
        <w:br w:type="page"/>
      </w:r>
    </w:p>
    <w:p>
      <w:pPr>
        <w:spacing w:line="386" w:lineRule="exact"/>
        <w:rPr>
          <w:rFonts w:ascii="Times New Roman" w:hAnsi="Times New Roman" w:eastAsia="宋体" w:cs="Times New Roman"/>
          <w:b/>
          <w:sz w:val="24"/>
          <w:szCs w:val="24"/>
          <w:lang w:eastAsia="zh-CN"/>
        </w:rPr>
      </w:pPr>
      <w:r>
        <w:rPr>
          <w:rFonts w:ascii="Times New Roman" w:hAnsi="Times New Roman" w:eastAsia="宋体" w:cs="Times New Roman"/>
          <w:b/>
          <w:sz w:val="24"/>
          <w:szCs w:val="24"/>
        </w:rPr>
        <w:t>表</w:t>
      </w:r>
      <w:r>
        <w:rPr>
          <w:rFonts w:hint="eastAsia" w:ascii="Times New Roman" w:hAnsi="Times New Roman" w:eastAsia="宋体" w:cs="Times New Roman"/>
          <w:b/>
          <w:sz w:val="24"/>
          <w:szCs w:val="24"/>
          <w:lang w:eastAsia="zh-CN"/>
        </w:rPr>
        <w:t>六</w:t>
      </w:r>
    </w:p>
    <w:tbl>
      <w:tblPr>
        <w:tblStyle w:val="17"/>
        <w:tblW w:w="8755"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8755"/>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8755" w:type="dxa"/>
            <w:tcBorders>
              <w:tl2br w:val="nil"/>
              <w:tr2bl w:val="nil"/>
            </w:tcBorders>
          </w:tcPr>
          <w:p>
            <w:pPr>
              <w:pStyle w:val="23"/>
              <w:spacing w:line="374" w:lineRule="exact"/>
              <w:ind w:left="107"/>
              <w:jc w:val="left"/>
              <w:rPr>
                <w:rFonts w:ascii="Times New Roman" w:hAnsi="Times New Roman" w:eastAsia="宋体" w:cs="Times New Roman"/>
                <w:sz w:val="24"/>
                <w:szCs w:val="20"/>
                <w:lang w:eastAsia="zh-CN"/>
              </w:rPr>
            </w:pPr>
            <w:r>
              <w:rPr>
                <w:rFonts w:ascii="Times New Roman" w:hAnsi="Times New Roman" w:eastAsia="宋体" w:cs="Times New Roman"/>
                <w:sz w:val="24"/>
                <w:szCs w:val="20"/>
                <w:lang w:eastAsia="zh-CN"/>
              </w:rPr>
              <w:t>验收监测内容：</w:t>
            </w:r>
          </w:p>
          <w:p>
            <w:pPr>
              <w:autoSpaceDE/>
              <w:autoSpaceDN/>
              <w:spacing w:line="360" w:lineRule="auto"/>
              <w:ind w:firstLine="440" w:firstLineChars="200"/>
              <w:jc w:val="both"/>
              <w:rPr>
                <w:rFonts w:hint="eastAsia" w:ascii="Times New Roman" w:hAnsi="Times New Roman" w:eastAsia="宋体" w:cs="Times New Roman"/>
                <w:sz w:val="24"/>
                <w:szCs w:val="24"/>
                <w:lang w:eastAsia="zh-CN" w:bidi="ar"/>
              </w:rPr>
            </w:pPr>
            <w:bookmarkStart w:id="0" w:name="_Toc29999"/>
            <w:bookmarkStart w:id="1" w:name="_Toc850"/>
            <w:r>
              <w:rPr>
                <w:rFonts w:hint="eastAsia" w:eastAsia="宋体"/>
                <w:lang w:eastAsia="zh-CN"/>
              </w:rPr>
              <w:t>依据环评要求及实际建设内容，确定了</w:t>
            </w:r>
            <w:r>
              <w:rPr>
                <w:rFonts w:hint="default" w:ascii="Times New Roman" w:hAnsi="Times New Roman" w:eastAsia="宋体" w:cs="Times New Roman"/>
                <w:b w:val="0"/>
                <w:bCs w:val="0"/>
                <w:sz w:val="24"/>
                <w:szCs w:val="24"/>
                <w:lang w:eastAsia="zh-CN"/>
              </w:rPr>
              <w:t>本项目验收监测内容见表</w:t>
            </w:r>
            <w:r>
              <w:rPr>
                <w:rFonts w:hint="eastAsia" w:ascii="Times New Roman" w:hAnsi="Times New Roman" w:eastAsia="宋体" w:cs="Times New Roman"/>
                <w:b w:val="0"/>
                <w:bCs w:val="0"/>
                <w:sz w:val="24"/>
                <w:szCs w:val="24"/>
                <w:lang w:val="en-US" w:eastAsia="zh-CN"/>
              </w:rPr>
              <w:t>12</w:t>
            </w:r>
            <w:r>
              <w:rPr>
                <w:rFonts w:hint="default" w:ascii="Times New Roman" w:hAnsi="Times New Roman" w:eastAsia="宋体" w:cs="Times New Roman"/>
                <w:b w:val="0"/>
                <w:bCs w:val="0"/>
                <w:sz w:val="24"/>
                <w:szCs w:val="24"/>
                <w:lang w:val="en-US" w:eastAsia="zh-CN"/>
              </w:rPr>
              <w:t>：</w:t>
            </w:r>
          </w:p>
          <w:bookmarkEnd w:id="0"/>
          <w:bookmarkEnd w:id="1"/>
          <w:p>
            <w:pPr>
              <w:spacing w:line="360" w:lineRule="auto"/>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表</w:t>
            </w:r>
            <w:r>
              <w:rPr>
                <w:rFonts w:hint="eastAsia" w:ascii="Times New Roman" w:hAnsi="Times New Roman" w:eastAsia="宋体" w:cs="Times New Roman"/>
                <w:b/>
                <w:bCs/>
                <w:sz w:val="21"/>
                <w:szCs w:val="21"/>
                <w:lang w:val="en-US" w:eastAsia="zh-CN"/>
              </w:rPr>
              <w:t>12</w:t>
            </w:r>
            <w:r>
              <w:rPr>
                <w:rFonts w:hint="default" w:ascii="Times New Roman" w:hAnsi="Times New Roman" w:eastAsia="宋体" w:cs="Times New Roman"/>
                <w:b/>
                <w:bCs/>
                <w:sz w:val="21"/>
                <w:szCs w:val="21"/>
                <w:lang w:val="en-US" w:eastAsia="zh-CN"/>
              </w:rPr>
              <w:t xml:space="preserve">  验收监测工作内容一览表</w:t>
            </w:r>
          </w:p>
          <w:tbl>
            <w:tblPr>
              <w:tblStyle w:val="16"/>
              <w:tblW w:w="852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935"/>
              <w:gridCol w:w="1493"/>
              <w:gridCol w:w="1402"/>
              <w:gridCol w:w="2289"/>
              <w:gridCol w:w="17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615" w:type="dxa"/>
                  <w:gridSpan w:val="2"/>
                  <w:tcBorders>
                    <w:tl2br w:val="nil"/>
                    <w:tr2bl w:val="nil"/>
                  </w:tcBorders>
                  <w:shd w:val="clear" w:color="auto" w:fill="D7D7D7"/>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000000"/>
                      <w:sz w:val="21"/>
                      <w:szCs w:val="21"/>
                      <w:lang w:eastAsia="zh-CN"/>
                    </w:rPr>
                  </w:pPr>
                  <w:r>
                    <w:rPr>
                      <w:rFonts w:hint="eastAsia" w:ascii="宋体" w:hAnsi="宋体" w:eastAsia="宋体" w:cs="宋体"/>
                      <w:b/>
                      <w:bCs/>
                      <w:color w:val="000000"/>
                      <w:sz w:val="21"/>
                      <w:szCs w:val="21"/>
                      <w:lang w:eastAsia="zh-CN"/>
                    </w:rPr>
                    <w:t>类别</w:t>
                  </w:r>
                </w:p>
              </w:tc>
              <w:tc>
                <w:tcPr>
                  <w:tcW w:w="2895" w:type="dxa"/>
                  <w:gridSpan w:val="2"/>
                  <w:tcBorders>
                    <w:tl2br w:val="nil"/>
                    <w:tr2bl w:val="nil"/>
                  </w:tcBorders>
                  <w:shd w:val="clear" w:color="auto" w:fill="D7D7D7"/>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000000"/>
                      <w:sz w:val="21"/>
                      <w:szCs w:val="21"/>
                      <w:lang w:eastAsia="zh-CN"/>
                    </w:rPr>
                  </w:pPr>
                  <w:r>
                    <w:rPr>
                      <w:rFonts w:hint="eastAsia" w:ascii="宋体" w:hAnsi="宋体" w:eastAsia="宋体" w:cs="宋体"/>
                      <w:b/>
                      <w:bCs/>
                      <w:color w:val="000000"/>
                      <w:sz w:val="21"/>
                      <w:szCs w:val="21"/>
                      <w:lang w:eastAsia="zh-CN"/>
                    </w:rPr>
                    <w:t>监测点位</w:t>
                  </w:r>
                </w:p>
              </w:tc>
              <w:tc>
                <w:tcPr>
                  <w:tcW w:w="2289" w:type="dxa"/>
                  <w:tcBorders>
                    <w:tl2br w:val="nil"/>
                    <w:tr2bl w:val="nil"/>
                  </w:tcBorders>
                  <w:shd w:val="clear" w:color="auto" w:fill="D7D7D7"/>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000000"/>
                      <w:sz w:val="21"/>
                      <w:szCs w:val="21"/>
                      <w:lang w:eastAsia="zh-CN"/>
                    </w:rPr>
                  </w:pPr>
                  <w:r>
                    <w:rPr>
                      <w:rFonts w:hint="eastAsia" w:ascii="宋体" w:hAnsi="宋体" w:eastAsia="宋体" w:cs="宋体"/>
                      <w:b/>
                      <w:bCs/>
                      <w:color w:val="000000"/>
                      <w:sz w:val="21"/>
                      <w:szCs w:val="21"/>
                      <w:lang w:eastAsia="zh-CN"/>
                    </w:rPr>
                    <w:t>监测项目</w:t>
                  </w:r>
                </w:p>
              </w:tc>
              <w:tc>
                <w:tcPr>
                  <w:tcW w:w="1723" w:type="dxa"/>
                  <w:tcBorders>
                    <w:tl2br w:val="nil"/>
                    <w:tr2bl w:val="nil"/>
                  </w:tcBorders>
                  <w:shd w:val="clear" w:color="auto" w:fill="D7D7D7"/>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000000"/>
                      <w:sz w:val="21"/>
                      <w:szCs w:val="21"/>
                      <w:lang w:eastAsia="zh-CN"/>
                    </w:rPr>
                  </w:pPr>
                  <w:r>
                    <w:rPr>
                      <w:rFonts w:hint="eastAsia" w:ascii="宋体" w:hAnsi="宋体" w:eastAsia="宋体" w:cs="宋体"/>
                      <w:b/>
                      <w:bCs/>
                      <w:color w:val="000000"/>
                      <w:sz w:val="21"/>
                      <w:szCs w:val="21"/>
                      <w:lang w:eastAsia="zh-CN"/>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615" w:type="dxa"/>
                  <w:gridSpan w:val="2"/>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lang w:eastAsia="zh-CN"/>
                    </w:rPr>
                    <w:t>废水</w:t>
                  </w:r>
                </w:p>
              </w:tc>
              <w:tc>
                <w:tcPr>
                  <w:tcW w:w="2895" w:type="dxa"/>
                  <w:gridSpan w:val="2"/>
                  <w:tcBorders>
                    <w:tl2br w:val="nil"/>
                    <w:tr2bl w:val="nil"/>
                  </w:tcBorders>
                  <w:vAlign w:val="center"/>
                </w:tcPr>
                <w:p>
                  <w:pPr>
                    <w:pStyle w:val="24"/>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本项目脱硫塔废水排口</w:t>
                  </w:r>
                </w:p>
                <w:p>
                  <w:pPr>
                    <w:pStyle w:val="24"/>
                    <w:jc w:val="center"/>
                    <w:rPr>
                      <w:rFonts w:hint="eastAsia" w:ascii="宋体" w:hAnsi="宋体" w:eastAsia="宋体" w:cs="宋体"/>
                      <w:sz w:val="21"/>
                      <w:szCs w:val="21"/>
                      <w:lang w:val="en-US" w:eastAsia="zh-CN"/>
                    </w:rPr>
                  </w:pPr>
                  <w:r>
                    <w:rPr>
                      <w:rFonts w:hint="eastAsia" w:ascii="宋体" w:hAnsi="宋体" w:eastAsia="宋体" w:cs="宋体"/>
                      <w:sz w:val="21"/>
                      <w:szCs w:val="21"/>
                      <w:lang w:eastAsia="zh-CN"/>
                    </w:rPr>
                    <w:t>布设1个点</w:t>
                  </w:r>
                </w:p>
              </w:tc>
              <w:tc>
                <w:tcPr>
                  <w:tcW w:w="2289" w:type="dxa"/>
                  <w:tcBorders>
                    <w:tl2br w:val="nil"/>
                    <w:tr2bl w:val="nil"/>
                  </w:tcBorders>
                  <w:vAlign w:val="center"/>
                </w:tcPr>
                <w:p>
                  <w:pPr>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b w:val="0"/>
                      <w:bCs/>
                      <w:sz w:val="21"/>
                      <w:szCs w:val="21"/>
                      <w:lang w:val="en-US" w:eastAsia="zh-CN"/>
                    </w:rPr>
                    <w:t>COD、挥发酚、硫化物、氨氮、石油类、SS、PH</w:t>
                  </w:r>
                </w:p>
              </w:tc>
              <w:tc>
                <w:tcPr>
                  <w:tcW w:w="1723" w:type="dxa"/>
                  <w:tcBorders>
                    <w:tl2br w:val="nil"/>
                    <w:tr2bl w:val="nil"/>
                  </w:tcBorders>
                  <w:vAlign w:val="center"/>
                </w:tcPr>
                <w:p>
                  <w:pPr>
                    <w:pStyle w:val="24"/>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sz w:val="21"/>
                      <w:szCs w:val="21"/>
                      <w:lang w:val="en-US" w:eastAsia="zh-CN"/>
                    </w:rPr>
                    <w:t>监测2天，每天4次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restart"/>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废气</w:t>
                  </w:r>
                </w:p>
              </w:tc>
              <w:tc>
                <w:tcPr>
                  <w:tcW w:w="935"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无组织排放废气</w:t>
                  </w:r>
                </w:p>
              </w:tc>
              <w:tc>
                <w:tcPr>
                  <w:tcW w:w="1493"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color w:val="auto"/>
                      <w:sz w:val="21"/>
                      <w:szCs w:val="21"/>
                      <w:lang w:eastAsia="zh-CN"/>
                    </w:rPr>
                    <w:t>企业边界</w:t>
                  </w:r>
                </w:p>
              </w:tc>
              <w:tc>
                <w:tcPr>
                  <w:tcW w:w="1402"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Q1,Q2,Q3</w:t>
                  </w:r>
                </w:p>
              </w:tc>
              <w:tc>
                <w:tcPr>
                  <w:tcW w:w="2289"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sz w:val="21"/>
                      <w:szCs w:val="21"/>
                      <w:lang w:eastAsia="zh-CN"/>
                    </w:rPr>
                  </w:pPr>
                  <w:r>
                    <w:rPr>
                      <w:rFonts w:hint="eastAsia" w:ascii="宋体" w:hAnsi="宋体" w:eastAsia="宋体" w:cs="宋体"/>
                      <w:b w:val="0"/>
                      <w:bCs/>
                      <w:kern w:val="21"/>
                      <w:sz w:val="21"/>
                      <w:szCs w:val="21"/>
                      <w:u w:val="none"/>
                    </w:rPr>
                    <w:t>苯</w:t>
                  </w:r>
                  <w:r>
                    <w:rPr>
                      <w:rFonts w:hint="eastAsia" w:ascii="宋体" w:hAnsi="宋体" w:eastAsia="宋体" w:cs="宋体"/>
                      <w:b w:val="0"/>
                      <w:bCs/>
                      <w:kern w:val="21"/>
                      <w:sz w:val="21"/>
                      <w:szCs w:val="21"/>
                      <w:u w:val="none"/>
                      <w:lang w:val="en-US" w:eastAsia="zh-CN"/>
                    </w:rPr>
                    <w:t>、</w:t>
                  </w:r>
                  <w:r>
                    <w:rPr>
                      <w:rFonts w:hint="eastAsia" w:ascii="宋体" w:hAnsi="宋体" w:eastAsia="宋体" w:cs="宋体"/>
                      <w:b w:val="0"/>
                      <w:bCs/>
                      <w:kern w:val="21"/>
                      <w:sz w:val="21"/>
                      <w:szCs w:val="21"/>
                      <w:u w:val="none"/>
                    </w:rPr>
                    <w:t>二甲苯</w:t>
                  </w:r>
                  <w:r>
                    <w:rPr>
                      <w:rFonts w:hint="eastAsia" w:ascii="宋体" w:hAnsi="宋体" w:eastAsia="宋体" w:cs="宋体"/>
                      <w:b w:val="0"/>
                      <w:bCs/>
                      <w:kern w:val="21"/>
                      <w:sz w:val="21"/>
                      <w:szCs w:val="21"/>
                      <w:u w:val="none"/>
                      <w:lang w:val="en-US" w:eastAsia="zh-CN"/>
                    </w:rPr>
                    <w:t>、</w:t>
                  </w:r>
                  <w:r>
                    <w:rPr>
                      <w:rFonts w:hint="eastAsia" w:ascii="宋体" w:hAnsi="宋体" w:eastAsia="宋体" w:cs="宋体"/>
                      <w:b w:val="0"/>
                      <w:bCs/>
                      <w:kern w:val="21"/>
                      <w:sz w:val="21"/>
                      <w:szCs w:val="21"/>
                      <w:u w:val="none"/>
                    </w:rPr>
                    <w:t>甲苯</w:t>
                  </w:r>
                  <w:r>
                    <w:rPr>
                      <w:rFonts w:hint="eastAsia" w:ascii="宋体" w:hAnsi="宋体" w:eastAsia="宋体" w:cs="宋体"/>
                      <w:sz w:val="21"/>
                      <w:szCs w:val="21"/>
                      <w:lang w:val="en-US" w:eastAsia="zh-CN"/>
                    </w:rPr>
                    <w:t>、非甲烷总烃</w:t>
                  </w:r>
                </w:p>
              </w:tc>
              <w:tc>
                <w:tcPr>
                  <w:tcW w:w="1723"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sz w:val="21"/>
                      <w:szCs w:val="21"/>
                    </w:rPr>
                    <w:t>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80" w:type="dxa"/>
                  <w:vMerge w:val="continue"/>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000000"/>
                      <w:sz w:val="21"/>
                      <w:szCs w:val="21"/>
                      <w:lang w:eastAsia="zh-CN"/>
                    </w:rPr>
                  </w:pPr>
                </w:p>
              </w:tc>
              <w:tc>
                <w:tcPr>
                  <w:tcW w:w="935" w:type="dxa"/>
                  <w:vMerge w:val="restart"/>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有组织废气</w:t>
                  </w:r>
                </w:p>
              </w:tc>
              <w:tc>
                <w:tcPr>
                  <w:tcW w:w="1493" w:type="dxa"/>
                  <w:vMerge w:val="restart"/>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sz w:val="21"/>
                      <w:szCs w:val="21"/>
                      <w:lang w:val="en-US" w:eastAsia="zh-CN"/>
                    </w:rPr>
                  </w:pPr>
                  <w:r>
                    <w:rPr>
                      <w:rFonts w:hint="eastAsia" w:ascii="Times New Roman" w:hAnsi="Times New Roman" w:eastAsia="宋体" w:cs="Times New Roman"/>
                      <w:color w:val="auto"/>
                      <w:kern w:val="2"/>
                      <w:sz w:val="21"/>
                      <w:szCs w:val="21"/>
                      <w:lang w:val="en-US" w:eastAsia="zh-CN"/>
                    </w:rPr>
                    <w:t>VOCs热氧处理系统装置处理后尾气排气筒</w:t>
                  </w:r>
                </w:p>
              </w:tc>
              <w:tc>
                <w:tcPr>
                  <w:tcW w:w="1402"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Q4</w:t>
                  </w:r>
                  <w:r>
                    <w:rPr>
                      <w:rFonts w:hint="eastAsia" w:ascii="宋体" w:hAnsi="宋体" w:eastAsia="宋体" w:cs="宋体"/>
                      <w:sz w:val="21"/>
                      <w:szCs w:val="21"/>
                    </w:rPr>
                    <w:t>进口</w:t>
                  </w:r>
                </w:p>
              </w:tc>
              <w:tc>
                <w:tcPr>
                  <w:tcW w:w="2289"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b w:val="0"/>
                      <w:bCs/>
                      <w:kern w:val="21"/>
                      <w:sz w:val="21"/>
                      <w:szCs w:val="21"/>
                      <w:u w:val="none"/>
                    </w:rPr>
                    <w:t>苯</w:t>
                  </w:r>
                  <w:r>
                    <w:rPr>
                      <w:rFonts w:hint="eastAsia" w:ascii="宋体" w:hAnsi="宋体" w:eastAsia="宋体" w:cs="宋体"/>
                      <w:b w:val="0"/>
                      <w:bCs/>
                      <w:kern w:val="21"/>
                      <w:sz w:val="21"/>
                      <w:szCs w:val="21"/>
                      <w:u w:val="none"/>
                      <w:lang w:val="en-US" w:eastAsia="zh-CN"/>
                    </w:rPr>
                    <w:t>、</w:t>
                  </w:r>
                  <w:r>
                    <w:rPr>
                      <w:rFonts w:hint="eastAsia" w:ascii="宋体" w:hAnsi="宋体" w:eastAsia="宋体" w:cs="宋体"/>
                      <w:b w:val="0"/>
                      <w:bCs/>
                      <w:kern w:val="21"/>
                      <w:sz w:val="21"/>
                      <w:szCs w:val="21"/>
                      <w:u w:val="none"/>
                    </w:rPr>
                    <w:t>二甲苯</w:t>
                  </w:r>
                  <w:r>
                    <w:rPr>
                      <w:rFonts w:hint="eastAsia" w:ascii="宋体" w:hAnsi="宋体" w:eastAsia="宋体" w:cs="宋体"/>
                      <w:b w:val="0"/>
                      <w:bCs/>
                      <w:kern w:val="21"/>
                      <w:sz w:val="21"/>
                      <w:szCs w:val="21"/>
                      <w:u w:val="none"/>
                      <w:lang w:val="en-US" w:eastAsia="zh-CN"/>
                    </w:rPr>
                    <w:t>、</w:t>
                  </w:r>
                  <w:r>
                    <w:rPr>
                      <w:rFonts w:hint="eastAsia" w:ascii="宋体" w:hAnsi="宋体" w:eastAsia="宋体" w:cs="宋体"/>
                      <w:b w:val="0"/>
                      <w:bCs/>
                      <w:kern w:val="21"/>
                      <w:sz w:val="21"/>
                      <w:szCs w:val="21"/>
                      <w:u w:val="none"/>
                    </w:rPr>
                    <w:t>甲苯</w:t>
                  </w:r>
                  <w:r>
                    <w:rPr>
                      <w:rFonts w:hint="eastAsia" w:ascii="宋体" w:hAnsi="宋体" w:eastAsia="宋体" w:cs="宋体"/>
                      <w:sz w:val="21"/>
                      <w:szCs w:val="21"/>
                      <w:lang w:val="en-US" w:eastAsia="zh-CN"/>
                    </w:rPr>
                    <w:t>、非甲烷总烃</w:t>
                  </w:r>
                </w:p>
              </w:tc>
              <w:tc>
                <w:tcPr>
                  <w:tcW w:w="1723"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sz w:val="21"/>
                      <w:szCs w:val="21"/>
                    </w:rPr>
                    <w:t>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continue"/>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000000"/>
                      <w:sz w:val="21"/>
                      <w:szCs w:val="21"/>
                      <w:lang w:eastAsia="zh-CN"/>
                    </w:rPr>
                  </w:pPr>
                </w:p>
              </w:tc>
              <w:tc>
                <w:tcPr>
                  <w:tcW w:w="935" w:type="dxa"/>
                  <w:vMerge w:val="continue"/>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000000"/>
                      <w:sz w:val="21"/>
                      <w:szCs w:val="21"/>
                      <w:lang w:eastAsia="zh-CN"/>
                    </w:rPr>
                  </w:pPr>
                </w:p>
              </w:tc>
              <w:tc>
                <w:tcPr>
                  <w:tcW w:w="1493" w:type="dxa"/>
                  <w:vMerge w:val="continue"/>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sz w:val="21"/>
                      <w:szCs w:val="21"/>
                      <w:lang w:eastAsia="zh-CN"/>
                    </w:rPr>
                  </w:pPr>
                </w:p>
              </w:tc>
              <w:tc>
                <w:tcPr>
                  <w:tcW w:w="1402"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Q5出口</w:t>
                  </w:r>
                </w:p>
              </w:tc>
              <w:tc>
                <w:tcPr>
                  <w:tcW w:w="2289"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b w:val="0"/>
                      <w:bCs/>
                      <w:kern w:val="21"/>
                      <w:sz w:val="21"/>
                      <w:szCs w:val="21"/>
                      <w:u w:val="none"/>
                    </w:rPr>
                    <w:t>苯</w:t>
                  </w:r>
                  <w:r>
                    <w:rPr>
                      <w:rFonts w:hint="eastAsia" w:ascii="宋体" w:hAnsi="宋体" w:eastAsia="宋体" w:cs="宋体"/>
                      <w:b w:val="0"/>
                      <w:bCs/>
                      <w:kern w:val="21"/>
                      <w:sz w:val="21"/>
                      <w:szCs w:val="21"/>
                      <w:u w:val="none"/>
                      <w:lang w:val="en-US" w:eastAsia="zh-CN"/>
                    </w:rPr>
                    <w:t>、</w:t>
                  </w:r>
                  <w:r>
                    <w:rPr>
                      <w:rFonts w:hint="eastAsia" w:ascii="宋体" w:hAnsi="宋体" w:eastAsia="宋体" w:cs="宋体"/>
                      <w:b w:val="0"/>
                      <w:bCs/>
                      <w:kern w:val="21"/>
                      <w:sz w:val="21"/>
                      <w:szCs w:val="21"/>
                      <w:u w:val="none"/>
                    </w:rPr>
                    <w:t>二甲苯</w:t>
                  </w:r>
                  <w:r>
                    <w:rPr>
                      <w:rFonts w:hint="eastAsia" w:ascii="宋体" w:hAnsi="宋体" w:eastAsia="宋体" w:cs="宋体"/>
                      <w:b w:val="0"/>
                      <w:bCs/>
                      <w:kern w:val="21"/>
                      <w:sz w:val="21"/>
                      <w:szCs w:val="21"/>
                      <w:u w:val="none"/>
                      <w:lang w:val="en-US" w:eastAsia="zh-CN"/>
                    </w:rPr>
                    <w:t>、</w:t>
                  </w:r>
                  <w:r>
                    <w:rPr>
                      <w:rFonts w:hint="eastAsia" w:ascii="宋体" w:hAnsi="宋体" w:eastAsia="宋体" w:cs="宋体"/>
                      <w:b w:val="0"/>
                      <w:bCs/>
                      <w:kern w:val="21"/>
                      <w:sz w:val="21"/>
                      <w:szCs w:val="21"/>
                      <w:u w:val="none"/>
                    </w:rPr>
                    <w:t>甲苯</w:t>
                  </w:r>
                  <w:r>
                    <w:rPr>
                      <w:rFonts w:hint="eastAsia" w:ascii="宋体" w:hAnsi="宋体" w:eastAsia="宋体" w:cs="宋体"/>
                      <w:sz w:val="21"/>
                      <w:szCs w:val="21"/>
                      <w:lang w:val="en-US" w:eastAsia="zh-CN"/>
                    </w:rPr>
                    <w:t>、非甲烷总烃、二氧化硫、氮氧化物、颗粒物</w:t>
                  </w:r>
                </w:p>
              </w:tc>
              <w:tc>
                <w:tcPr>
                  <w:tcW w:w="1723"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000000"/>
                      <w:kern w:val="0"/>
                      <w:sz w:val="21"/>
                      <w:szCs w:val="21"/>
                      <w:lang w:val="en-US" w:eastAsia="zh-CN" w:bidi="ar-SA"/>
                    </w:rPr>
                  </w:pPr>
                  <w:r>
                    <w:rPr>
                      <w:rFonts w:hint="eastAsia" w:ascii="宋体" w:hAnsi="宋体" w:eastAsia="宋体" w:cs="宋体"/>
                      <w:sz w:val="21"/>
                      <w:szCs w:val="21"/>
                    </w:rPr>
                    <w:t>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615" w:type="dxa"/>
                  <w:gridSpan w:val="2"/>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噪声</w:t>
                  </w:r>
                </w:p>
              </w:tc>
              <w:tc>
                <w:tcPr>
                  <w:tcW w:w="2895" w:type="dxa"/>
                  <w:gridSpan w:val="2"/>
                  <w:tcBorders>
                    <w:tl2br w:val="nil"/>
                    <w:tr2bl w:val="nil"/>
                  </w:tcBorders>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Lines="20" w:beforeAutospacing="0" w:afterLines="20" w:afterAutospacing="0" w:line="240" w:lineRule="auto"/>
                    <w:ind w:left="0" w:leftChars="0" w:right="0" w:righ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四周各设一个厂界噪声监测点，共4个点Z1、Z2、Z3、Z4</w:t>
                  </w:r>
                </w:p>
              </w:tc>
              <w:tc>
                <w:tcPr>
                  <w:tcW w:w="2289"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等效A声级</w:t>
                  </w:r>
                </w:p>
              </w:tc>
              <w:tc>
                <w:tcPr>
                  <w:tcW w:w="1723" w:type="dxa"/>
                  <w:tcBorders>
                    <w:tl2br w:val="nil"/>
                    <w:tr2bl w:val="nil"/>
                  </w:tcBorders>
                  <w:vAlign w:val="center"/>
                </w:tcPr>
                <w:p>
                  <w:pPr>
                    <w:pStyle w:val="24"/>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监测2天，昼夜各1次</w:t>
                  </w:r>
                </w:p>
              </w:tc>
            </w:tr>
          </w:tbl>
          <w:p>
            <w:pPr>
              <w:pStyle w:val="23"/>
              <w:spacing w:before="7" w:line="360" w:lineRule="auto"/>
              <w:ind w:left="107" w:right="164" w:firstLine="480"/>
              <w:jc w:val="left"/>
              <w:rPr>
                <w:rFonts w:hint="eastAsia" w:ascii="Times New Roman" w:hAnsi="Times New Roman" w:eastAsia="宋体" w:cs="Times New Roman"/>
                <w:sz w:val="24"/>
                <w:lang w:val="en-US" w:eastAsia="zh-CN"/>
              </w:rPr>
            </w:pPr>
            <w:r>
              <w:rPr>
                <w:rFonts w:hint="default" w:ascii="Times New Roman" w:hAnsi="Times New Roman" w:eastAsia="宋体" w:cs="Times New Roman"/>
                <w:b w:val="0"/>
                <w:bCs/>
                <w:color w:val="auto"/>
                <w:sz w:val="24"/>
                <w:szCs w:val="24"/>
                <w:u w:val="none" w:color="auto"/>
                <w:lang w:eastAsia="zh-CN"/>
              </w:rPr>
              <w:t>本项目验收</w:t>
            </w:r>
            <w:r>
              <w:rPr>
                <w:rFonts w:hint="default" w:ascii="Times New Roman" w:hAnsi="Times New Roman" w:eastAsia="宋体" w:cs="Times New Roman"/>
                <w:b w:val="0"/>
                <w:bCs/>
                <w:color w:val="auto"/>
                <w:sz w:val="24"/>
                <w:szCs w:val="24"/>
                <w:u w:val="none" w:color="auto"/>
              </w:rPr>
              <w:t>监测分析方法</w:t>
            </w:r>
            <w:r>
              <w:rPr>
                <w:rFonts w:hint="eastAsia" w:ascii="Times New Roman" w:hAnsi="Times New Roman" w:eastAsia="宋体" w:cs="Times New Roman"/>
                <w:b w:val="0"/>
                <w:bCs/>
                <w:color w:val="auto"/>
                <w:sz w:val="24"/>
                <w:szCs w:val="24"/>
                <w:u w:val="none" w:color="auto"/>
                <w:lang w:eastAsia="zh-CN"/>
              </w:rPr>
              <w:t>：</w:t>
            </w:r>
          </w:p>
          <w:p>
            <w:pPr>
              <w:spacing w:line="360" w:lineRule="auto"/>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表</w:t>
            </w:r>
            <w:r>
              <w:rPr>
                <w:rFonts w:hint="eastAsia" w:ascii="Times New Roman" w:hAnsi="Times New Roman" w:eastAsia="宋体" w:cs="Times New Roman"/>
                <w:b/>
                <w:bCs/>
                <w:sz w:val="21"/>
                <w:szCs w:val="21"/>
                <w:lang w:val="en-US" w:eastAsia="zh-CN"/>
              </w:rPr>
              <w:t>13</w:t>
            </w:r>
            <w:r>
              <w:rPr>
                <w:rFonts w:hint="default" w:ascii="Times New Roman" w:hAnsi="Times New Roman" w:eastAsia="宋体" w:cs="Times New Roman"/>
                <w:b/>
                <w:bCs/>
                <w:sz w:val="21"/>
                <w:szCs w:val="21"/>
                <w:lang w:val="en-US" w:eastAsia="zh-CN"/>
              </w:rPr>
              <w:t xml:space="preserve">  监测分析方法</w:t>
            </w:r>
          </w:p>
          <w:tbl>
            <w:tblPr>
              <w:tblStyle w:val="1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60"/>
              <w:gridCol w:w="530"/>
              <w:gridCol w:w="1145"/>
              <w:gridCol w:w="2891"/>
              <w:gridCol w:w="1820"/>
              <w:gridCol w:w="15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8" w:type="pct"/>
                  <w:tcBorders>
                    <w:tl2br w:val="nil"/>
                    <w:tr2bl w:val="nil"/>
                  </w:tcBorders>
                  <w:shd w:val="clear" w:color="auto" w:fill="D7D7D7"/>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类别</w:t>
                  </w:r>
                </w:p>
              </w:tc>
              <w:tc>
                <w:tcPr>
                  <w:tcW w:w="980" w:type="pct"/>
                  <w:gridSpan w:val="2"/>
                  <w:tcBorders>
                    <w:tl2br w:val="nil"/>
                    <w:tr2bl w:val="nil"/>
                  </w:tcBorders>
                  <w:shd w:val="clear" w:color="auto" w:fill="D7D7D7"/>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监测项目</w:t>
                  </w:r>
                </w:p>
              </w:tc>
              <w:tc>
                <w:tcPr>
                  <w:tcW w:w="1692" w:type="pct"/>
                  <w:tcBorders>
                    <w:tl2br w:val="nil"/>
                    <w:tr2bl w:val="nil"/>
                  </w:tcBorders>
                  <w:shd w:val="clear" w:color="auto" w:fill="D7D7D7"/>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b/>
                      <w:bCs/>
                      <w:color w:val="auto"/>
                      <w:kern w:val="0"/>
                      <w:sz w:val="21"/>
                      <w:szCs w:val="21"/>
                      <w:highlight w:val="none"/>
                      <w:lang w:eastAsia="zh-CN"/>
                    </w:rPr>
                  </w:pPr>
                  <w:r>
                    <w:rPr>
                      <w:rFonts w:hint="eastAsia" w:ascii="宋体" w:hAnsi="宋体" w:eastAsia="宋体" w:cs="宋体"/>
                      <w:b/>
                      <w:bCs/>
                      <w:color w:val="auto"/>
                      <w:kern w:val="0"/>
                      <w:sz w:val="21"/>
                      <w:szCs w:val="21"/>
                      <w:highlight w:val="none"/>
                    </w:rPr>
                    <w:t>检测</w:t>
                  </w:r>
                  <w:r>
                    <w:rPr>
                      <w:rFonts w:hint="eastAsia" w:ascii="宋体" w:hAnsi="宋体" w:eastAsia="宋体" w:cs="宋体"/>
                      <w:b/>
                      <w:bCs/>
                      <w:color w:val="auto"/>
                      <w:kern w:val="0"/>
                      <w:sz w:val="21"/>
                      <w:szCs w:val="21"/>
                      <w:highlight w:val="none"/>
                      <w:lang w:eastAsia="zh-CN"/>
                    </w:rPr>
                    <w:t>标准</w:t>
                  </w:r>
                  <w:r>
                    <w:rPr>
                      <w:rFonts w:hint="eastAsia" w:ascii="宋体" w:hAnsi="宋体" w:eastAsia="宋体" w:cs="宋体"/>
                      <w:b/>
                      <w:bCs/>
                      <w:color w:val="auto"/>
                      <w:kern w:val="0"/>
                      <w:sz w:val="21"/>
                      <w:szCs w:val="21"/>
                      <w:highlight w:val="none"/>
                    </w:rPr>
                    <w:t>方法</w:t>
                  </w:r>
                  <w:r>
                    <w:rPr>
                      <w:rFonts w:hint="eastAsia" w:ascii="宋体" w:hAnsi="宋体" w:eastAsia="宋体" w:cs="宋体"/>
                      <w:b/>
                      <w:bCs/>
                      <w:color w:val="auto"/>
                      <w:kern w:val="0"/>
                      <w:sz w:val="21"/>
                      <w:szCs w:val="21"/>
                      <w:highlight w:val="none"/>
                      <w:lang w:eastAsia="zh-CN"/>
                    </w:rPr>
                    <w:t>名称及编号</w:t>
                  </w:r>
                </w:p>
                <w:p>
                  <w:pPr>
                    <w:pStyle w:val="24"/>
                    <w:keepNext w:val="0"/>
                    <w:keepLines w:val="0"/>
                    <w:pageBreakBefore w:val="0"/>
                    <w:kinsoku/>
                    <w:wordWrap/>
                    <w:overflowPunct/>
                    <w:topLinePunct w:val="0"/>
                    <w:bidi w:val="0"/>
                    <w:snapToGrid/>
                    <w:spacing w:line="240" w:lineRule="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auto"/>
                      <w:kern w:val="0"/>
                      <w:sz w:val="21"/>
                      <w:szCs w:val="21"/>
                      <w:highlight w:val="none"/>
                      <w:lang w:eastAsia="zh-CN"/>
                    </w:rPr>
                    <w:t>（含年号）</w:t>
                  </w:r>
                </w:p>
              </w:tc>
              <w:tc>
                <w:tcPr>
                  <w:tcW w:w="1065" w:type="pct"/>
                  <w:tcBorders>
                    <w:tl2br w:val="nil"/>
                    <w:tr2bl w:val="nil"/>
                  </w:tcBorders>
                  <w:shd w:val="clear" w:color="auto" w:fill="D7D7D7"/>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使用仪器</w:t>
                  </w:r>
                </w:p>
              </w:tc>
              <w:tc>
                <w:tcPr>
                  <w:tcW w:w="932" w:type="pct"/>
                  <w:tcBorders>
                    <w:tl2br w:val="nil"/>
                    <w:tr2bl w:val="nil"/>
                  </w:tcBorders>
                  <w:shd w:val="clear" w:color="auto" w:fill="D7D7D7"/>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最低检出限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328" w:type="pct"/>
                  <w:vMerge w:val="restar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废气</w:t>
                  </w:r>
                </w:p>
              </w:tc>
              <w:tc>
                <w:tcPr>
                  <w:tcW w:w="310" w:type="pct"/>
                  <w:vMerge w:val="restar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有组织废气</w:t>
                  </w:r>
                </w:p>
              </w:tc>
              <w:tc>
                <w:tcPr>
                  <w:tcW w:w="670" w:type="pc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苯</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《环境空气 苯系物的测定》</w:t>
                  </w:r>
                </w:p>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en-US" w:bidi="ar-SA"/>
                    </w:rPr>
                  </w:pPr>
                  <w:r>
                    <w:rPr>
                      <w:rFonts w:hint="eastAsia" w:ascii="宋体" w:hAnsi="宋体" w:eastAsia="宋体" w:cs="宋体"/>
                      <w:sz w:val="21"/>
                      <w:szCs w:val="21"/>
                      <w:vertAlign w:val="baseline"/>
                      <w:lang w:val="en-US" w:eastAsia="zh-CN"/>
                    </w:rPr>
                    <w:t xml:space="preserve">HJ 583-2010 </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气相色谱仪</w:t>
                  </w:r>
                </w:p>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sz w:val="21"/>
                      <w:szCs w:val="21"/>
                      <w:vertAlign w:val="baseline"/>
                      <w:lang w:val="en-US" w:eastAsia="zh-CN"/>
                    </w:rPr>
                    <w:t>GC7820A</w:t>
                  </w:r>
                </w:p>
              </w:tc>
              <w:tc>
                <w:tcPr>
                  <w:tcW w:w="93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5×10</w:t>
                  </w:r>
                  <w:r>
                    <w:rPr>
                      <w:rFonts w:hint="eastAsia" w:ascii="宋体" w:hAnsi="宋体" w:eastAsia="宋体" w:cs="宋体"/>
                      <w:kern w:val="0"/>
                      <w:sz w:val="21"/>
                      <w:szCs w:val="21"/>
                      <w:highlight w:val="none"/>
                      <w:vertAlign w:val="superscript"/>
                      <w:lang w:val="en-US" w:eastAsia="zh-CN"/>
                    </w:rPr>
                    <w:t>-4</w:t>
                  </w:r>
                  <w:r>
                    <w:rPr>
                      <w:rFonts w:hint="eastAsia" w:ascii="宋体" w:hAnsi="宋体" w:eastAsia="宋体" w:cs="宋体"/>
                      <w:kern w:val="0"/>
                      <w:sz w:val="21"/>
                      <w:szCs w:val="21"/>
                      <w:highlight w:val="none"/>
                    </w:rPr>
                    <w:t>mg/m</w:t>
                  </w:r>
                  <w:r>
                    <w:rPr>
                      <w:rFonts w:hint="eastAsia" w:ascii="宋体" w:hAnsi="宋体" w:eastAsia="宋体" w:cs="宋体"/>
                      <w:kern w:val="0"/>
                      <w:sz w:val="21"/>
                      <w:szCs w:val="21"/>
                      <w:highlight w:val="none"/>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40"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310"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p>
              </w:tc>
              <w:tc>
                <w:tcPr>
                  <w:tcW w:w="670" w:type="pc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甲苯</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《环境空气 苯系物的测定》</w:t>
                  </w:r>
                </w:p>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en-US" w:bidi="ar-SA"/>
                    </w:rPr>
                  </w:pPr>
                  <w:r>
                    <w:rPr>
                      <w:rFonts w:hint="eastAsia" w:ascii="宋体" w:hAnsi="宋体" w:eastAsia="宋体" w:cs="宋体"/>
                      <w:sz w:val="21"/>
                      <w:szCs w:val="21"/>
                      <w:vertAlign w:val="baseline"/>
                      <w:lang w:val="en-US" w:eastAsia="zh-CN"/>
                    </w:rPr>
                    <w:t xml:space="preserve">HJ 583-2010 </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气相色谱仪</w:t>
                  </w:r>
                </w:p>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sz w:val="21"/>
                      <w:szCs w:val="21"/>
                      <w:vertAlign w:val="baseline"/>
                      <w:lang w:val="en-US" w:eastAsia="zh-CN"/>
                    </w:rPr>
                    <w:t>GC7820A</w:t>
                  </w:r>
                </w:p>
              </w:tc>
              <w:tc>
                <w:tcPr>
                  <w:tcW w:w="93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5×10</w:t>
                  </w:r>
                  <w:r>
                    <w:rPr>
                      <w:rFonts w:hint="eastAsia" w:ascii="宋体" w:hAnsi="宋体" w:eastAsia="宋体" w:cs="宋体"/>
                      <w:kern w:val="0"/>
                      <w:sz w:val="21"/>
                      <w:szCs w:val="21"/>
                      <w:highlight w:val="none"/>
                      <w:vertAlign w:val="superscript"/>
                      <w:lang w:val="en-US" w:eastAsia="zh-CN"/>
                    </w:rPr>
                    <w:t>-4</w:t>
                  </w:r>
                  <w:r>
                    <w:rPr>
                      <w:rFonts w:hint="eastAsia" w:ascii="宋体" w:hAnsi="宋体" w:eastAsia="宋体" w:cs="宋体"/>
                      <w:kern w:val="0"/>
                      <w:sz w:val="21"/>
                      <w:szCs w:val="21"/>
                      <w:highlight w:val="none"/>
                    </w:rPr>
                    <w:t>mg/m</w:t>
                  </w:r>
                  <w:r>
                    <w:rPr>
                      <w:rFonts w:hint="eastAsia" w:ascii="宋体" w:hAnsi="宋体" w:eastAsia="宋体" w:cs="宋体"/>
                      <w:kern w:val="0"/>
                      <w:sz w:val="21"/>
                      <w:szCs w:val="21"/>
                      <w:highlight w:val="none"/>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40"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310"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p>
              </w:tc>
              <w:tc>
                <w:tcPr>
                  <w:tcW w:w="670" w:type="pc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二甲苯</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《环境空气 苯系物的测定》</w:t>
                  </w:r>
                </w:p>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en-US" w:bidi="ar-SA"/>
                    </w:rPr>
                  </w:pPr>
                  <w:r>
                    <w:rPr>
                      <w:rFonts w:hint="eastAsia" w:ascii="宋体" w:hAnsi="宋体" w:eastAsia="宋体" w:cs="宋体"/>
                      <w:sz w:val="21"/>
                      <w:szCs w:val="21"/>
                      <w:vertAlign w:val="baseline"/>
                      <w:lang w:val="en-US" w:eastAsia="zh-CN"/>
                    </w:rPr>
                    <w:t xml:space="preserve">HJ 583-2010 </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气相色谱仪</w:t>
                  </w:r>
                </w:p>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sz w:val="21"/>
                      <w:szCs w:val="21"/>
                      <w:vertAlign w:val="baseline"/>
                      <w:lang w:val="en-US" w:eastAsia="zh-CN"/>
                    </w:rPr>
                    <w:t>GC7820A</w:t>
                  </w:r>
                </w:p>
              </w:tc>
              <w:tc>
                <w:tcPr>
                  <w:tcW w:w="93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5×10</w:t>
                  </w:r>
                  <w:r>
                    <w:rPr>
                      <w:rFonts w:hint="eastAsia" w:ascii="宋体" w:hAnsi="宋体" w:eastAsia="宋体" w:cs="宋体"/>
                      <w:kern w:val="0"/>
                      <w:sz w:val="21"/>
                      <w:szCs w:val="21"/>
                      <w:highlight w:val="none"/>
                      <w:vertAlign w:val="superscript"/>
                      <w:lang w:val="en-US" w:eastAsia="zh-CN"/>
                    </w:rPr>
                    <w:t>-4</w:t>
                  </w:r>
                  <w:r>
                    <w:rPr>
                      <w:rFonts w:hint="eastAsia" w:ascii="宋体" w:hAnsi="宋体" w:eastAsia="宋体" w:cs="宋体"/>
                      <w:kern w:val="0"/>
                      <w:sz w:val="21"/>
                      <w:szCs w:val="21"/>
                      <w:highlight w:val="none"/>
                    </w:rPr>
                    <w:t>mg/m</w:t>
                  </w:r>
                  <w:r>
                    <w:rPr>
                      <w:rFonts w:hint="eastAsia" w:ascii="宋体" w:hAnsi="宋体" w:eastAsia="宋体" w:cs="宋体"/>
                      <w:kern w:val="0"/>
                      <w:sz w:val="21"/>
                      <w:szCs w:val="21"/>
                      <w:highlight w:val="none"/>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40"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310"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p>
              </w:tc>
              <w:tc>
                <w:tcPr>
                  <w:tcW w:w="670" w:type="pc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非甲烷总烃</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vertAlign w:val="baseline"/>
                      <w:lang w:val="en-US" w:eastAsia="zh-CN"/>
                    </w:rPr>
                    <w:t>《固定污染源废气总烃、甲烷和非甲烷总烃的测定》HJ38-2017</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vertAlign w:val="baseline"/>
                      <w:lang w:val="en-US" w:eastAsia="zh-CN"/>
                    </w:rPr>
                    <w:t>上海天美GC-7900气相色谱仪</w:t>
                  </w:r>
                </w:p>
              </w:tc>
              <w:tc>
                <w:tcPr>
                  <w:tcW w:w="93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kern w:val="0"/>
                      <w:sz w:val="21"/>
                      <w:szCs w:val="21"/>
                      <w:highlight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0.07mg/m</w:t>
                  </w:r>
                  <w:r>
                    <w:rPr>
                      <w:rFonts w:hint="eastAsia" w:ascii="宋体" w:hAnsi="宋体" w:eastAsia="宋体" w:cs="宋体"/>
                      <w:i w:val="0"/>
                      <w:color w:val="000000"/>
                      <w:kern w:val="0"/>
                      <w:sz w:val="21"/>
                      <w:szCs w:val="21"/>
                      <w:highlight w:val="none"/>
                      <w:u w:val="none"/>
                      <w:vertAlign w:val="superscript"/>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310"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p>
              </w:tc>
              <w:tc>
                <w:tcPr>
                  <w:tcW w:w="670"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highlight w:val="none"/>
                      <w:lang w:val="en-US" w:eastAsia="zh-CN" w:bidi="ar-SA"/>
                    </w:rPr>
                  </w:pPr>
                  <w:r>
                    <w:rPr>
                      <w:rFonts w:hint="eastAsia" w:ascii="宋体" w:hAnsi="宋体" w:eastAsia="宋体" w:cs="宋体"/>
                      <w:i w:val="0"/>
                      <w:color w:val="auto"/>
                      <w:kern w:val="0"/>
                      <w:sz w:val="21"/>
                      <w:szCs w:val="21"/>
                      <w:u w:val="none"/>
                      <w:lang w:val="en-US" w:eastAsia="zh-CN" w:bidi="ar-SA"/>
                    </w:rPr>
                    <w:t>氮氧化物</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left"/>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《固定污染源废气 氮氧化物的测定 定电位电解法》HJ 693-2014</w:t>
                  </w:r>
                </w:p>
              </w:tc>
              <w:tc>
                <w:tcPr>
                  <w:tcW w:w="1065"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vertAlign w:val="baseline"/>
                      <w:lang w:val="en-US" w:eastAsia="zh-CN"/>
                    </w:rPr>
                    <w:t>智能烟气采样器FY-YQ201</w:t>
                  </w:r>
                </w:p>
              </w:tc>
              <w:tc>
                <w:tcPr>
                  <w:tcW w:w="932"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highlight w:val="none"/>
                      <w:lang w:val="en-US" w:eastAsia="zh-CN" w:bidi="ar-SA"/>
                    </w:rPr>
                  </w:pPr>
                  <w:r>
                    <w:rPr>
                      <w:rFonts w:hint="eastAsia" w:ascii="宋体" w:hAnsi="宋体" w:eastAsia="宋体" w:cs="宋体"/>
                      <w:i w:val="0"/>
                      <w:color w:val="auto"/>
                      <w:kern w:val="0"/>
                      <w:sz w:val="21"/>
                      <w:szCs w:val="21"/>
                      <w:u w:val="none"/>
                      <w:lang w:val="en-US" w:eastAsia="zh-CN" w:bidi="ar-SA"/>
                    </w:rPr>
                    <w:t>3</w:t>
                  </w:r>
                  <w:r>
                    <w:rPr>
                      <w:rFonts w:hint="eastAsia" w:ascii="宋体" w:hAnsi="宋体" w:eastAsia="宋体" w:cs="宋体"/>
                      <w:sz w:val="21"/>
                      <w:szCs w:val="21"/>
                      <w:vertAlign w:val="baseline"/>
                      <w:lang w:val="en-US" w:eastAsia="zh-CN"/>
                    </w:rPr>
                    <w:t>mg/m</w:t>
                  </w:r>
                  <w:r>
                    <w:rPr>
                      <w:rFonts w:hint="eastAsia" w:ascii="宋体" w:hAnsi="宋体" w:eastAsia="宋体" w:cs="宋体"/>
                      <w:sz w:val="21"/>
                      <w:szCs w:val="21"/>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40"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310"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p>
              </w:tc>
              <w:tc>
                <w:tcPr>
                  <w:tcW w:w="670"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vertAlign w:val="baseline"/>
                      <w:lang w:val="en-US" w:eastAsia="zh-CN"/>
                    </w:rPr>
                    <w:t>二氧化硫</w:t>
                  </w:r>
                </w:p>
              </w:tc>
              <w:tc>
                <w:tcPr>
                  <w:tcW w:w="1692"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vertAlign w:val="baseline"/>
                      <w:lang w:val="en-US" w:eastAsia="zh-CN"/>
                    </w:rPr>
                    <w:t>《固定污染源排气中二氧化硫的测定 碘量法》(HJT 56-2000)</w:t>
                  </w:r>
                </w:p>
              </w:tc>
              <w:tc>
                <w:tcPr>
                  <w:tcW w:w="1065"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vertAlign w:val="baseline"/>
                      <w:lang w:val="en-US" w:eastAsia="zh-CN"/>
                    </w:rPr>
                    <w:t>智能烟气采样器FY-YQ201</w:t>
                  </w:r>
                </w:p>
              </w:tc>
              <w:tc>
                <w:tcPr>
                  <w:tcW w:w="932"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vertAlign w:val="baseline"/>
                      <w:lang w:val="en-US" w:eastAsia="zh-CN"/>
                    </w:rPr>
                    <w:t>3mg/m</w:t>
                  </w:r>
                  <w:r>
                    <w:rPr>
                      <w:rFonts w:hint="eastAsia" w:ascii="宋体" w:hAnsi="宋体" w:eastAsia="宋体" w:cs="宋体"/>
                      <w:sz w:val="21"/>
                      <w:szCs w:val="21"/>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740"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310"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p>
              </w:tc>
              <w:tc>
                <w:tcPr>
                  <w:tcW w:w="670"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vertAlign w:val="baseline"/>
                      <w:lang w:val="en-US" w:eastAsia="zh-CN"/>
                    </w:rPr>
                    <w:t>颗粒物</w:t>
                  </w:r>
                </w:p>
              </w:tc>
              <w:tc>
                <w:tcPr>
                  <w:tcW w:w="1692"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lang w:val="en-US" w:eastAsia="zh-CN"/>
                    </w:rPr>
                    <w:t>《固定污染源排气中颗粒物测定与气态污染物采样方法》(GBT 16157-1996)</w:t>
                  </w:r>
                </w:p>
              </w:tc>
              <w:tc>
                <w:tcPr>
                  <w:tcW w:w="1065"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vertAlign w:val="baseline"/>
                      <w:lang w:val="en-US" w:eastAsia="zh-CN" w:bidi="ar-SA"/>
                    </w:rPr>
                  </w:pPr>
                  <w:r>
                    <w:rPr>
                      <w:rFonts w:hint="eastAsia" w:ascii="宋体" w:hAnsi="宋体" w:eastAsia="宋体" w:cs="宋体"/>
                      <w:sz w:val="21"/>
                      <w:szCs w:val="21"/>
                      <w:lang w:val="en-US" w:eastAsia="zh-CN"/>
                    </w:rPr>
                    <w:t>LE204E分析天平</w:t>
                  </w:r>
                </w:p>
              </w:tc>
              <w:tc>
                <w:tcPr>
                  <w:tcW w:w="932"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vertAlign w:val="baseline"/>
                      <w:lang w:val="en-US" w:eastAsia="zh-CN"/>
                    </w:rPr>
                    <w:t>1mg/m</w:t>
                  </w:r>
                  <w:r>
                    <w:rPr>
                      <w:rFonts w:hint="eastAsia" w:ascii="宋体" w:hAnsi="宋体" w:eastAsia="宋体" w:cs="宋体"/>
                      <w:sz w:val="21"/>
                      <w:szCs w:val="21"/>
                      <w:vertAlign w:val="superscript"/>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1"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310" w:type="pct"/>
                  <w:vMerge w:val="restar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无组织废气</w:t>
                  </w:r>
                </w:p>
              </w:tc>
              <w:tc>
                <w:tcPr>
                  <w:tcW w:w="670" w:type="pct"/>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苯</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en-US" w:bidi="ar-SA"/>
                    </w:rPr>
                  </w:pPr>
                  <w:r>
                    <w:rPr>
                      <w:rFonts w:hint="eastAsia" w:ascii="宋体" w:hAnsi="宋体" w:eastAsia="宋体" w:cs="宋体"/>
                      <w:color w:val="auto"/>
                      <w:kern w:val="0"/>
                      <w:sz w:val="21"/>
                      <w:szCs w:val="21"/>
                      <w:highlight w:val="none"/>
                      <w:lang w:val="en-US" w:eastAsia="zh-CN"/>
                    </w:rPr>
                    <w:t xml:space="preserve">《环境空气 苯系物的测定 活性炭吸附_二硫化碳解吸-气相色谱法》HJ 584-2010 </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气相色谱仪</w:t>
                  </w:r>
                  <w:r>
                    <w:rPr>
                      <w:rFonts w:hint="eastAsia" w:ascii="宋体" w:hAnsi="宋体" w:eastAsia="宋体" w:cs="宋体"/>
                      <w:color w:val="auto"/>
                      <w:kern w:val="0"/>
                      <w:sz w:val="21"/>
                      <w:szCs w:val="21"/>
                      <w:highlight w:val="none"/>
                      <w:lang w:val="en-US" w:eastAsia="zh-CN"/>
                    </w:rPr>
                    <w:t>/GC7820A/HR012</w:t>
                  </w:r>
                </w:p>
              </w:tc>
              <w:tc>
                <w:tcPr>
                  <w:tcW w:w="932" w:type="pct"/>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1.5×10</w:t>
                  </w:r>
                  <w:r>
                    <w:rPr>
                      <w:rFonts w:hint="eastAsia" w:ascii="宋体" w:hAnsi="宋体" w:eastAsia="宋体" w:cs="宋体"/>
                      <w:kern w:val="0"/>
                      <w:sz w:val="21"/>
                      <w:szCs w:val="21"/>
                      <w:highlight w:val="none"/>
                      <w:vertAlign w:val="superscript"/>
                      <w:lang w:val="en-US" w:eastAsia="zh-CN"/>
                    </w:rPr>
                    <w:t>-3</w:t>
                  </w:r>
                  <w:r>
                    <w:rPr>
                      <w:rFonts w:hint="eastAsia" w:ascii="宋体" w:hAnsi="宋体" w:eastAsia="宋体" w:cs="宋体"/>
                      <w:i w:val="0"/>
                      <w:color w:val="000000"/>
                      <w:kern w:val="0"/>
                      <w:sz w:val="21"/>
                      <w:szCs w:val="21"/>
                      <w:highlight w:val="none"/>
                      <w:u w:val="none"/>
                      <w:lang w:val="en-US" w:eastAsia="zh-CN" w:bidi="ar"/>
                    </w:rPr>
                    <w:t>mg/m</w:t>
                  </w:r>
                  <w:r>
                    <w:rPr>
                      <w:rFonts w:hint="eastAsia" w:ascii="宋体" w:hAnsi="宋体" w:eastAsia="宋体" w:cs="宋体"/>
                      <w:i w:val="0"/>
                      <w:color w:val="000000"/>
                      <w:kern w:val="0"/>
                      <w:sz w:val="21"/>
                      <w:szCs w:val="21"/>
                      <w:highlight w:val="none"/>
                      <w:u w:val="none"/>
                      <w:vertAlign w:val="superscript"/>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1"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sz w:val="21"/>
                      <w:szCs w:val="21"/>
                    </w:rPr>
                  </w:pPr>
                </w:p>
              </w:tc>
              <w:tc>
                <w:tcPr>
                  <w:tcW w:w="310"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sz w:val="21"/>
                      <w:szCs w:val="21"/>
                    </w:rPr>
                  </w:pPr>
                </w:p>
              </w:tc>
              <w:tc>
                <w:tcPr>
                  <w:tcW w:w="670" w:type="pct"/>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甲苯</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 xml:space="preserve">《环境空气 苯系物的测定 活性炭吸附_二硫化碳解吸-气相色谱法》HJ 584-2010 </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气相色谱仪</w:t>
                  </w:r>
                  <w:r>
                    <w:rPr>
                      <w:rFonts w:hint="eastAsia" w:ascii="宋体" w:hAnsi="宋体" w:eastAsia="宋体" w:cs="宋体"/>
                      <w:color w:val="auto"/>
                      <w:kern w:val="0"/>
                      <w:sz w:val="21"/>
                      <w:szCs w:val="21"/>
                      <w:highlight w:val="none"/>
                      <w:lang w:val="en-US" w:eastAsia="zh-CN"/>
                    </w:rPr>
                    <w:t>/GC7820A/HR012</w:t>
                  </w:r>
                </w:p>
              </w:tc>
              <w:tc>
                <w:tcPr>
                  <w:tcW w:w="932" w:type="pct"/>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1.5×10</w:t>
                  </w:r>
                  <w:r>
                    <w:rPr>
                      <w:rFonts w:hint="eastAsia" w:ascii="宋体" w:hAnsi="宋体" w:eastAsia="宋体" w:cs="宋体"/>
                      <w:kern w:val="0"/>
                      <w:sz w:val="21"/>
                      <w:szCs w:val="21"/>
                      <w:highlight w:val="none"/>
                      <w:vertAlign w:val="superscript"/>
                      <w:lang w:val="en-US" w:eastAsia="zh-CN"/>
                    </w:rPr>
                    <w:t>-3</w:t>
                  </w:r>
                  <w:r>
                    <w:rPr>
                      <w:rFonts w:hint="eastAsia" w:ascii="宋体" w:hAnsi="宋体" w:eastAsia="宋体" w:cs="宋体"/>
                      <w:i w:val="0"/>
                      <w:color w:val="000000"/>
                      <w:kern w:val="0"/>
                      <w:sz w:val="21"/>
                      <w:szCs w:val="21"/>
                      <w:highlight w:val="none"/>
                      <w:u w:val="none"/>
                      <w:lang w:val="en-US" w:eastAsia="zh-CN" w:bidi="ar"/>
                    </w:rPr>
                    <w:t>mg/m</w:t>
                  </w:r>
                  <w:r>
                    <w:rPr>
                      <w:rFonts w:hint="eastAsia" w:ascii="宋体" w:hAnsi="宋体" w:eastAsia="宋体" w:cs="宋体"/>
                      <w:i w:val="0"/>
                      <w:color w:val="000000"/>
                      <w:kern w:val="0"/>
                      <w:sz w:val="21"/>
                      <w:szCs w:val="21"/>
                      <w:highlight w:val="none"/>
                      <w:u w:val="none"/>
                      <w:vertAlign w:val="superscript"/>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1"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p>
              </w:tc>
              <w:tc>
                <w:tcPr>
                  <w:tcW w:w="310"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p>
              </w:tc>
              <w:tc>
                <w:tcPr>
                  <w:tcW w:w="670" w:type="pct"/>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二甲苯</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 xml:space="preserve">《环境空气 苯系物的测定 活性炭吸附_二硫化碳解吸-气相色谱法》HJ 584-2010 </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eastAsia="zh-CN"/>
                    </w:rPr>
                    <w:t>气相色谱仪</w:t>
                  </w:r>
                  <w:r>
                    <w:rPr>
                      <w:rFonts w:hint="eastAsia" w:ascii="宋体" w:hAnsi="宋体" w:eastAsia="宋体" w:cs="宋体"/>
                      <w:color w:val="auto"/>
                      <w:kern w:val="0"/>
                      <w:sz w:val="21"/>
                      <w:szCs w:val="21"/>
                      <w:highlight w:val="none"/>
                      <w:lang w:val="en-US" w:eastAsia="zh-CN"/>
                    </w:rPr>
                    <w:t>/GC7820A/HR012</w:t>
                  </w:r>
                </w:p>
              </w:tc>
              <w:tc>
                <w:tcPr>
                  <w:tcW w:w="932" w:type="pct"/>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1.5×10</w:t>
                  </w:r>
                  <w:r>
                    <w:rPr>
                      <w:rFonts w:hint="eastAsia" w:ascii="宋体" w:hAnsi="宋体" w:eastAsia="宋体" w:cs="宋体"/>
                      <w:kern w:val="0"/>
                      <w:sz w:val="21"/>
                      <w:szCs w:val="21"/>
                      <w:highlight w:val="none"/>
                      <w:vertAlign w:val="superscript"/>
                      <w:lang w:val="en-US" w:eastAsia="zh-CN"/>
                    </w:rPr>
                    <w:t>-3</w:t>
                  </w:r>
                  <w:r>
                    <w:rPr>
                      <w:rFonts w:hint="eastAsia" w:ascii="宋体" w:hAnsi="宋体" w:eastAsia="宋体" w:cs="宋体"/>
                      <w:i w:val="0"/>
                      <w:color w:val="000000"/>
                      <w:kern w:val="0"/>
                      <w:sz w:val="21"/>
                      <w:szCs w:val="21"/>
                      <w:highlight w:val="none"/>
                      <w:u w:val="none"/>
                      <w:lang w:val="en-US" w:eastAsia="zh-CN" w:bidi="ar"/>
                    </w:rPr>
                    <w:t>mg/m</w:t>
                  </w:r>
                  <w:r>
                    <w:rPr>
                      <w:rFonts w:hint="eastAsia" w:ascii="宋体" w:hAnsi="宋体" w:eastAsia="宋体" w:cs="宋体"/>
                      <w:i w:val="0"/>
                      <w:color w:val="000000"/>
                      <w:kern w:val="0"/>
                      <w:sz w:val="21"/>
                      <w:szCs w:val="21"/>
                      <w:highlight w:val="none"/>
                      <w:u w:val="none"/>
                      <w:vertAlign w:val="superscript"/>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1"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p>
              </w:tc>
              <w:tc>
                <w:tcPr>
                  <w:tcW w:w="310"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eastAsia="zh-CN"/>
                      <w14:textFill>
                        <w14:solidFill>
                          <w14:schemeClr w14:val="tx1"/>
                        </w14:solidFill>
                      </w14:textFill>
                    </w:rPr>
                  </w:pPr>
                </w:p>
              </w:tc>
              <w:tc>
                <w:tcPr>
                  <w:tcW w:w="670" w:type="pct"/>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非甲烷总烃</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sz w:val="21"/>
                      <w:szCs w:val="21"/>
                      <w:vertAlign w:val="baseline"/>
                      <w:lang w:val="en-US" w:eastAsia="zh-CN"/>
                    </w:rPr>
                    <w:t>《环境空气 总烃、甲烷和非甲烷总烃的测定》HJ 604-2017</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sz w:val="21"/>
                      <w:szCs w:val="21"/>
                      <w:vertAlign w:val="baseline"/>
                      <w:lang w:val="en-US" w:eastAsia="zh-CN"/>
                    </w:rPr>
                    <w:t>上海天美GC-7900气相色谱仪</w:t>
                  </w:r>
                </w:p>
              </w:tc>
              <w:tc>
                <w:tcPr>
                  <w:tcW w:w="93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i w:val="0"/>
                      <w:color w:val="000000"/>
                      <w:kern w:val="0"/>
                      <w:sz w:val="21"/>
                      <w:szCs w:val="21"/>
                      <w:highlight w:val="none"/>
                      <w:u w:val="none"/>
                      <w:lang w:val="en-US" w:eastAsia="zh-CN" w:bidi="ar"/>
                    </w:rPr>
                    <w:t>0.07mg/m</w:t>
                  </w:r>
                  <w:r>
                    <w:rPr>
                      <w:rFonts w:hint="eastAsia" w:ascii="宋体" w:hAnsi="宋体" w:eastAsia="宋体" w:cs="宋体"/>
                      <w:i w:val="0"/>
                      <w:color w:val="000000"/>
                      <w:kern w:val="0"/>
                      <w:sz w:val="21"/>
                      <w:szCs w:val="21"/>
                      <w:highlight w:val="none"/>
                      <w:u w:val="none"/>
                      <w:vertAlign w:val="superscript"/>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 w:type="pc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噪声</w:t>
                  </w:r>
                </w:p>
              </w:tc>
              <w:tc>
                <w:tcPr>
                  <w:tcW w:w="980" w:type="pct"/>
                  <w:gridSpan w:val="2"/>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工业噪声</w:t>
                  </w:r>
                </w:p>
              </w:tc>
              <w:tc>
                <w:tcPr>
                  <w:tcW w:w="1692" w:type="pct"/>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《工业企业厂界环境噪声排放标准》</w:t>
                  </w:r>
                </w:p>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kern w:val="0"/>
                      <w:sz w:val="21"/>
                      <w:szCs w:val="21"/>
                      <w:highlight w:val="none"/>
                    </w:rPr>
                    <w:t>GB 12348-2008</w:t>
                  </w:r>
                </w:p>
              </w:tc>
              <w:tc>
                <w:tcPr>
                  <w:tcW w:w="1065" w:type="pc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AWA5680噪声分析仪</w:t>
                  </w:r>
                </w:p>
              </w:tc>
              <w:tc>
                <w:tcPr>
                  <w:tcW w:w="932" w:type="pc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28" w:type="pct"/>
                  <w:vMerge w:val="restart"/>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废水</w:t>
                  </w:r>
                  <w:r>
                    <w:rPr>
                      <w:rFonts w:hint="eastAsia" w:ascii="宋体" w:hAnsi="宋体" w:eastAsia="宋体" w:cs="宋体"/>
                      <w:color w:val="000000" w:themeColor="text1"/>
                      <w:sz w:val="21"/>
                      <w:szCs w:val="21"/>
                      <w:lang w:val="en-US" w:eastAsia="zh-CN"/>
                      <w14:textFill>
                        <w14:solidFill>
                          <w14:schemeClr w14:val="tx1"/>
                        </w14:solidFill>
                      </w14:textFill>
                    </w:rPr>
                    <w:t xml:space="preserve">                     </w:t>
                  </w:r>
                </w:p>
              </w:tc>
              <w:tc>
                <w:tcPr>
                  <w:tcW w:w="980" w:type="pct"/>
                  <w:gridSpan w:val="2"/>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kern w:val="0"/>
                      <w:sz w:val="21"/>
                      <w:szCs w:val="21"/>
                      <w:highlight w:val="none"/>
                    </w:rPr>
                    <w:t>pH</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color w:val="000000"/>
                      <w:kern w:val="0"/>
                      <w:sz w:val="21"/>
                      <w:szCs w:val="21"/>
                      <w:highlight w:val="none"/>
                      <w:u w:val="none"/>
                      <w:lang w:val="en-US" w:eastAsia="zh-CN" w:bidi="ar"/>
                    </w:rPr>
                    <w:t>《水和废水监测分析方法》(第四版增补版）国家环境保护总局 2002年 便携式pH计法（B） 3.1.6（2）</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多参数分析仪</w:t>
                  </w:r>
                </w:p>
              </w:tc>
              <w:tc>
                <w:tcPr>
                  <w:tcW w:w="93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color w:val="000000"/>
                      <w:kern w:val="0"/>
                      <w:sz w:val="21"/>
                      <w:szCs w:val="21"/>
                      <w:highlight w:val="none"/>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2"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980" w:type="pct"/>
                  <w:gridSpan w:val="2"/>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kern w:val="0"/>
                      <w:sz w:val="21"/>
                      <w:szCs w:val="21"/>
                      <w:highlight w:val="none"/>
                    </w:rPr>
                    <w:t>COD</w:t>
                  </w:r>
                </w:p>
              </w:tc>
              <w:tc>
                <w:tcPr>
                  <w:tcW w:w="1692" w:type="pct"/>
                  <w:tcBorders>
                    <w:tl2br w:val="nil"/>
                    <w:tr2bl w:val="nil"/>
                  </w:tcBorders>
                  <w:noWrap w:val="0"/>
                  <w:vAlign w:val="center"/>
                </w:tcPr>
                <w:p>
                  <w:pPr>
                    <w:keepNext w:val="0"/>
                    <w:keepLines w:val="0"/>
                    <w:pageBreakBefore w:val="0"/>
                    <w:numPr>
                      <w:ilvl w:val="0"/>
                      <w:numId w:val="0"/>
                    </w:numPr>
                    <w:kinsoku/>
                    <w:wordWrap/>
                    <w:overflowPunct/>
                    <w:topLinePunct w:val="0"/>
                    <w:bidi w:val="0"/>
                    <w:snapToGrid/>
                    <w:spacing w:line="240" w:lineRule="auto"/>
                    <w:ind w:left="0" w:leftChars="0"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《水质 化学需氧量的测定 重铬酸钾法》</w:t>
                  </w:r>
                  <w:r>
                    <w:rPr>
                      <w:rFonts w:hint="eastAsia" w:ascii="宋体" w:hAnsi="宋体" w:eastAsia="宋体" w:cs="宋体"/>
                      <w:sz w:val="21"/>
                      <w:szCs w:val="21"/>
                      <w:vertAlign w:val="baseline"/>
                      <w:lang w:val="en-US" w:eastAsia="zh-CN"/>
                    </w:rPr>
                    <w:fldChar w:fldCharType="begin"/>
                  </w:r>
                  <w:r>
                    <w:rPr>
                      <w:rFonts w:hint="eastAsia" w:ascii="宋体" w:hAnsi="宋体" w:eastAsia="宋体" w:cs="宋体"/>
                      <w:sz w:val="21"/>
                      <w:szCs w:val="21"/>
                      <w:vertAlign w:val="baseline"/>
                      <w:lang w:val="en-US" w:eastAsia="zh-CN"/>
                    </w:rPr>
                    <w:instrText xml:space="preserve"> HYPERLINK "http://www.baidu.com/link?url=JlUgrcCjxXuT0Ge_b3YkGiU8BjGu2YPkV2c7AyWmG7SFLIX48vc-6wq4u_jBhSWHn2n39VV_a8pnGyKr8FSFXK" \t "https://www.baidu.com/_blank" </w:instrText>
                  </w:r>
                  <w:r>
                    <w:rPr>
                      <w:rFonts w:hint="eastAsia" w:ascii="宋体" w:hAnsi="宋体" w:eastAsia="宋体" w:cs="宋体"/>
                      <w:sz w:val="21"/>
                      <w:szCs w:val="21"/>
                      <w:vertAlign w:val="baseline"/>
                      <w:lang w:val="en-US" w:eastAsia="zh-CN"/>
                    </w:rPr>
                    <w:fldChar w:fldCharType="separate"/>
                  </w:r>
                  <w:r>
                    <w:rPr>
                      <w:rFonts w:hint="eastAsia" w:ascii="宋体" w:hAnsi="宋体" w:eastAsia="宋体" w:cs="宋体"/>
                      <w:sz w:val="21"/>
                      <w:szCs w:val="21"/>
                      <w:vertAlign w:val="baseline"/>
                      <w:lang w:val="en-US" w:eastAsia="zh-CN"/>
                    </w:rPr>
                    <w:t>HJ 828-2017</w:t>
                  </w:r>
                  <w:r>
                    <w:rPr>
                      <w:rFonts w:hint="eastAsia" w:ascii="宋体" w:hAnsi="宋体" w:eastAsia="宋体" w:cs="宋体"/>
                      <w:sz w:val="21"/>
                      <w:szCs w:val="21"/>
                      <w:vertAlign w:val="baseline"/>
                      <w:lang w:val="en-US" w:eastAsia="zh-CN"/>
                    </w:rPr>
                    <w:fldChar w:fldCharType="end"/>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滴定管</w:t>
                  </w:r>
                </w:p>
              </w:tc>
              <w:tc>
                <w:tcPr>
                  <w:tcW w:w="93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color w:val="000000"/>
                      <w:kern w:val="0"/>
                      <w:sz w:val="21"/>
                      <w:szCs w:val="21"/>
                      <w:highlight w:val="none"/>
                      <w:u w:val="none"/>
                      <w:lang w:val="en-US" w:eastAsia="zh-CN" w:bidi="ar"/>
                    </w:rPr>
                    <w:t>4</w:t>
                  </w:r>
                  <w:r>
                    <w:rPr>
                      <w:rFonts w:hint="eastAsia" w:ascii="宋体" w:hAnsi="宋体" w:eastAsia="宋体" w:cs="宋体"/>
                      <w:sz w:val="21"/>
                      <w:szCs w:val="21"/>
                    </w:rPr>
                    <w:t>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87"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980" w:type="pct"/>
                  <w:gridSpan w:val="2"/>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kern w:val="0"/>
                      <w:sz w:val="21"/>
                      <w:szCs w:val="21"/>
                      <w:highlight w:val="none"/>
                    </w:rPr>
                    <w:t>氨氮</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《水质 氨氮的测定 纳氏试剂光度法》HJ535-2009</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北京普析紫外可见分光光度计</w:t>
                  </w:r>
                </w:p>
              </w:tc>
              <w:tc>
                <w:tcPr>
                  <w:tcW w:w="93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0.025</w:t>
                  </w:r>
                  <w:r>
                    <w:rPr>
                      <w:rFonts w:hint="eastAsia" w:ascii="宋体" w:hAnsi="宋体" w:eastAsia="宋体" w:cs="宋体"/>
                      <w:sz w:val="21"/>
                      <w:szCs w:val="21"/>
                    </w:rPr>
                    <w:t>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87"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980" w:type="pct"/>
                  <w:gridSpan w:val="2"/>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kern w:val="0"/>
                      <w:sz w:val="21"/>
                      <w:szCs w:val="21"/>
                      <w:highlight w:val="none"/>
                      <w:lang w:val="en-US" w:eastAsia="zh-CN"/>
                    </w:rPr>
                    <w:t>SS</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《水质 悬浮物的测定 重量法》GB/T11901-1989</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0" w:firstLineChars="0"/>
                    <w:jc w:val="center"/>
                    <w:textAlignment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LE204E分析天平</w:t>
                  </w:r>
                </w:p>
              </w:tc>
              <w:tc>
                <w:tcPr>
                  <w:tcW w:w="93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4mg/L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09"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980" w:type="pct"/>
                  <w:gridSpan w:val="2"/>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kern w:val="0"/>
                      <w:sz w:val="21"/>
                      <w:szCs w:val="21"/>
                      <w:highlight w:val="none"/>
                      <w:lang w:val="en-US" w:eastAsia="zh-CN"/>
                    </w:rPr>
                    <w:t>石油类</w:t>
                  </w:r>
                </w:p>
              </w:tc>
              <w:tc>
                <w:tcPr>
                  <w:tcW w:w="1692" w:type="pct"/>
                  <w:tcBorders>
                    <w:tl2br w:val="nil"/>
                    <w:tr2bl w:val="nil"/>
                  </w:tcBorders>
                  <w:noWrap w:val="0"/>
                  <w:vAlign w:val="center"/>
                </w:tcPr>
                <w:p>
                  <w:pPr>
                    <w:keepNext w:val="0"/>
                    <w:keepLines w:val="0"/>
                    <w:pageBreakBefore w:val="0"/>
                    <w:numPr>
                      <w:ilvl w:val="0"/>
                      <w:numId w:val="0"/>
                    </w:numPr>
                    <w:kinsoku/>
                    <w:wordWrap/>
                    <w:overflowPunct/>
                    <w:topLinePunct w:val="0"/>
                    <w:bidi w:val="0"/>
                    <w:snapToGrid/>
                    <w:spacing w:line="240" w:lineRule="auto"/>
                    <w:ind w:left="0" w:leftChars="0"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《水质  石油类和动植物油类的测定 红外分光光度法》HJ637-2018</w:t>
                  </w:r>
                </w:p>
              </w:tc>
              <w:tc>
                <w:tcPr>
                  <w:tcW w:w="1065"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红外分光测油仪JLBG-126</w:t>
                  </w:r>
                </w:p>
              </w:tc>
              <w:tc>
                <w:tcPr>
                  <w:tcW w:w="932" w:type="pct"/>
                  <w:tcBorders>
                    <w:tl2br w:val="nil"/>
                    <w:tr2bl w:val="nil"/>
                  </w:tcBorders>
                  <w:noWrap w:val="0"/>
                  <w:vAlign w:val="center"/>
                </w:tcPr>
                <w:p>
                  <w:pPr>
                    <w:keepNext w:val="0"/>
                    <w:keepLines w:val="0"/>
                    <w:pageBreakBefore w:val="0"/>
                    <w:numPr>
                      <w:ilvl w:val="0"/>
                      <w:numId w:val="0"/>
                    </w:numPr>
                    <w:kinsoku/>
                    <w:wordWrap/>
                    <w:overflowPunct/>
                    <w:topLinePunct w:val="0"/>
                    <w:bidi w:val="0"/>
                    <w:snapToGrid/>
                    <w:spacing w:line="240" w:lineRule="auto"/>
                    <w:ind w:left="0" w:leftChars="0"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0.04mg/L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09"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980" w:type="pct"/>
                  <w:gridSpan w:val="2"/>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kern w:val="0"/>
                      <w:sz w:val="21"/>
                      <w:szCs w:val="21"/>
                      <w:highlight w:val="none"/>
                      <w:lang w:val="en-US" w:eastAsia="zh-CN"/>
                    </w:rPr>
                    <w:t>挥发酚</w:t>
                  </w:r>
                </w:p>
              </w:tc>
              <w:tc>
                <w:tcPr>
                  <w:tcW w:w="1692" w:type="pct"/>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spacing w:before="79" w:after="79"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auto"/>
                      <w:kern w:val="0"/>
                      <w:sz w:val="21"/>
                      <w:szCs w:val="21"/>
                      <w:highlight w:val="none"/>
                      <w:lang w:val="en-US" w:eastAsia="zh-CN"/>
                    </w:rPr>
                    <w:t>《水质 挥发酚的测定 4-氨基安替比林萃取分光光度法》HJ503-2009</w:t>
                  </w:r>
                </w:p>
              </w:tc>
              <w:tc>
                <w:tcPr>
                  <w:tcW w:w="1065" w:type="pct"/>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spacing w:before="79" w:after="79"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lang w:val="en-US" w:eastAsia="zh-CN"/>
                    </w:rPr>
                    <w:t>紫外可见分光光度计TU-1901</w:t>
                  </w:r>
                </w:p>
              </w:tc>
              <w:tc>
                <w:tcPr>
                  <w:tcW w:w="932" w:type="pct"/>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spacing w:before="79" w:after="79" w:line="240" w:lineRule="auto"/>
                    <w:ind w:left="0" w:leftChars="0" w:right="0" w:rightChars="0" w:firstLine="0" w:firstLineChars="0"/>
                    <w:jc w:val="center"/>
                    <w:textAlignment w:val="auto"/>
                    <w:outlineLvl w:val="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color w:val="000000"/>
                      <w:kern w:val="0"/>
                      <w:sz w:val="21"/>
                      <w:szCs w:val="21"/>
                      <w:highlight w:val="none"/>
                      <w:u w:val="none"/>
                      <w:lang w:val="en-US" w:eastAsia="zh-CN" w:bidi="ar"/>
                    </w:rPr>
                    <w:t>0.0003</w:t>
                  </w:r>
                  <w:r>
                    <w:rPr>
                      <w:rFonts w:hint="eastAsia" w:ascii="宋体" w:hAnsi="宋体" w:eastAsia="宋体" w:cs="宋体"/>
                      <w:sz w:val="21"/>
                      <w:szCs w:val="21"/>
                      <w:vertAlign w:val="baseline"/>
                      <w:lang w:val="en-US" w:eastAsia="zh-CN"/>
                    </w:rPr>
                    <w:t>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09" w:hRule="atLeast"/>
                <w:jc w:val="center"/>
              </w:trPr>
              <w:tc>
                <w:tcPr>
                  <w:tcW w:w="328" w:type="pct"/>
                  <w:vMerge w:val="continue"/>
                  <w:tcBorders>
                    <w:tl2br w:val="nil"/>
                    <w:tr2bl w:val="nil"/>
                  </w:tcBorders>
                  <w:noWrap w:val="0"/>
                  <w:vAlign w:val="center"/>
                </w:tcPr>
                <w:p>
                  <w:pPr>
                    <w:pStyle w:val="24"/>
                    <w:keepNext w:val="0"/>
                    <w:keepLines w:val="0"/>
                    <w:pageBreakBefore w:val="0"/>
                    <w:kinsoku/>
                    <w:wordWrap/>
                    <w:overflowPunct/>
                    <w:topLinePunct w:val="0"/>
                    <w:bidi w:val="0"/>
                    <w:snapToGrid/>
                    <w:spacing w:line="240" w:lineRule="auto"/>
                    <w:rPr>
                      <w:rFonts w:hint="eastAsia" w:ascii="宋体" w:hAnsi="宋体" w:eastAsia="宋体" w:cs="宋体"/>
                      <w:color w:val="000000" w:themeColor="text1"/>
                      <w:sz w:val="21"/>
                      <w:szCs w:val="21"/>
                      <w14:textFill>
                        <w14:solidFill>
                          <w14:schemeClr w14:val="tx1"/>
                        </w14:solidFill>
                      </w14:textFill>
                    </w:rPr>
                  </w:pPr>
                </w:p>
              </w:tc>
              <w:tc>
                <w:tcPr>
                  <w:tcW w:w="980" w:type="pct"/>
                  <w:gridSpan w:val="2"/>
                  <w:tcBorders>
                    <w:tl2br w:val="nil"/>
                    <w:tr2bl w:val="nil"/>
                  </w:tcBorders>
                  <w:noWrap w:val="0"/>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kern w:val="0"/>
                      <w:sz w:val="21"/>
                      <w:szCs w:val="21"/>
                      <w:highlight w:val="none"/>
                      <w:lang w:val="en-US" w:eastAsia="zh-CN"/>
                    </w:rPr>
                    <w:t>硫化物</w:t>
                  </w:r>
                </w:p>
              </w:tc>
              <w:tc>
                <w:tcPr>
                  <w:tcW w:w="169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《水质 硫化物的测定 》</w:t>
                  </w:r>
                </w:p>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 xml:space="preserve"> GB T 16489-1996</w:t>
                  </w:r>
                </w:p>
              </w:tc>
              <w:tc>
                <w:tcPr>
                  <w:tcW w:w="1065"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lang w:val="en-US" w:eastAsia="zh-CN"/>
                    </w:rPr>
                    <w:t>紫外可见分光光度计TU-1901</w:t>
                  </w:r>
                </w:p>
              </w:tc>
              <w:tc>
                <w:tcPr>
                  <w:tcW w:w="932" w:type="pct"/>
                  <w:tcBorders>
                    <w:tl2br w:val="nil"/>
                    <w:tr2bl w:val="nil"/>
                  </w:tcBorders>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z w:val="21"/>
                      <w:szCs w:val="21"/>
                      <w:vertAlign w:val="baseline"/>
                      <w:lang w:val="en-US" w:eastAsia="zh-CN"/>
                    </w:rPr>
                    <w:t>0.005mg/L</w:t>
                  </w:r>
                </w:p>
              </w:tc>
            </w:tr>
          </w:tbl>
          <w:p>
            <w:pPr>
              <w:jc w:val="both"/>
            </w:pPr>
          </w:p>
          <w:p>
            <w:pPr>
              <w:pStyle w:val="19"/>
              <w:jc w:val="both"/>
            </w:pPr>
          </w:p>
          <w:p>
            <w:pPr>
              <w:pStyle w:val="19"/>
              <w:jc w:val="both"/>
            </w:pPr>
          </w:p>
          <w:p>
            <w:pPr>
              <w:pStyle w:val="19"/>
              <w:jc w:val="both"/>
            </w:pPr>
          </w:p>
          <w:p>
            <w:pPr>
              <w:pStyle w:val="19"/>
              <w:jc w:val="both"/>
            </w:pPr>
          </w:p>
          <w:p>
            <w:pPr>
              <w:pStyle w:val="19"/>
              <w:jc w:val="both"/>
            </w:pPr>
          </w:p>
          <w:p>
            <w:pPr>
              <w:pStyle w:val="19"/>
              <w:jc w:val="both"/>
            </w:pPr>
          </w:p>
          <w:p>
            <w:pPr>
              <w:pStyle w:val="23"/>
              <w:spacing w:line="374" w:lineRule="exact"/>
              <w:rPr>
                <w:rFonts w:ascii="Times New Roman" w:hAnsi="Times New Roman" w:eastAsia="宋体" w:cs="Times New Roman"/>
                <w:sz w:val="21"/>
                <w:szCs w:val="20"/>
                <w:lang w:eastAsia="zh-CN"/>
              </w:rPr>
            </w:pPr>
          </w:p>
          <w:p>
            <w:pPr>
              <w:pStyle w:val="23"/>
              <w:spacing w:line="374" w:lineRule="exact"/>
              <w:jc w:val="both"/>
              <w:rPr>
                <w:rFonts w:ascii="Times New Roman" w:hAnsi="Times New Roman" w:eastAsia="宋体" w:cs="Times New Roman"/>
                <w:sz w:val="21"/>
                <w:szCs w:val="20"/>
                <w:lang w:eastAsia="zh-CN"/>
              </w:rPr>
            </w:pPr>
          </w:p>
        </w:tc>
      </w:tr>
    </w:tbl>
    <w:p>
      <w:pPr>
        <w:pStyle w:val="2"/>
        <w:rPr>
          <w:lang w:eastAsia="zh-CN"/>
        </w:rPr>
      </w:pPr>
      <w:r>
        <w:rPr>
          <w:lang w:eastAsia="zh-CN"/>
        </w:rPr>
        <w:br w:type="page"/>
      </w:r>
    </w:p>
    <w:p>
      <w:pPr>
        <w:spacing w:line="386" w:lineRule="exact"/>
        <w:rPr>
          <w:rFonts w:ascii="Times New Roman" w:hAnsi="Times New Roman" w:eastAsia="宋体" w:cs="Times New Roman"/>
          <w:b/>
          <w:sz w:val="24"/>
          <w:szCs w:val="24"/>
          <w:lang w:eastAsia="zh-CN"/>
        </w:rPr>
      </w:pPr>
      <w:r>
        <w:rPr>
          <w:rFonts w:ascii="Times New Roman" w:hAnsi="Times New Roman" w:eastAsia="宋体" w:cs="Times New Roman"/>
          <w:b/>
          <w:sz w:val="24"/>
          <w:szCs w:val="24"/>
          <w:lang w:eastAsia="zh-CN"/>
        </w:rPr>
        <w:t>表</w:t>
      </w:r>
      <w:r>
        <w:rPr>
          <w:rFonts w:hint="eastAsia" w:ascii="Times New Roman" w:hAnsi="Times New Roman" w:eastAsia="宋体" w:cs="Times New Roman"/>
          <w:b/>
          <w:sz w:val="24"/>
          <w:szCs w:val="24"/>
          <w:lang w:eastAsia="zh-CN"/>
        </w:rPr>
        <w:t>七</w:t>
      </w:r>
    </w:p>
    <w:tbl>
      <w:tblPr>
        <w:tblStyle w:val="17"/>
        <w:tblW w:w="8872" w:type="dxa"/>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autofit"/>
        <w:tblCellMar>
          <w:top w:w="0" w:type="dxa"/>
          <w:left w:w="108" w:type="dxa"/>
          <w:bottom w:w="0" w:type="dxa"/>
          <w:right w:w="108" w:type="dxa"/>
        </w:tblCellMar>
      </w:tblPr>
      <w:tblGrid>
        <w:gridCol w:w="8886"/>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0" w:hRule="atLeast"/>
          <w:jc w:val="center"/>
        </w:trPr>
        <w:tc>
          <w:tcPr>
            <w:tcW w:w="8872" w:type="dxa"/>
            <w:tcBorders>
              <w:tl2br w:val="nil"/>
              <w:tr2bl w:val="nil"/>
            </w:tcBorders>
          </w:tcPr>
          <w:p>
            <w:pPr>
              <w:spacing w:line="360" w:lineRule="auto"/>
              <w:jc w:val="both"/>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ascii="Times New Roman" w:hAnsi="Times New Roman" w:eastAsia="宋体" w:cs="Times New Roman"/>
                <w:color w:val="000000" w:themeColor="text1"/>
                <w:sz w:val="24"/>
                <w:szCs w:val="24"/>
                <w:lang w:eastAsia="zh-CN"/>
                <w14:textFill>
                  <w14:solidFill>
                    <w14:schemeClr w14:val="tx1"/>
                  </w14:solidFill>
                </w14:textFill>
              </w:rPr>
              <w:t>验收监测期间</w:t>
            </w:r>
            <w:r>
              <w:rPr>
                <w:rFonts w:hint="eastAsia" w:ascii="Times New Roman" w:hAnsi="Times New Roman" w:eastAsia="宋体" w:cs="Times New Roman"/>
                <w:color w:val="000000" w:themeColor="text1"/>
                <w:sz w:val="24"/>
                <w:szCs w:val="24"/>
                <w:lang w:eastAsia="zh-CN"/>
                <w14:textFill>
                  <w14:solidFill>
                    <w14:schemeClr w14:val="tx1"/>
                  </w14:solidFill>
                </w14:textFill>
              </w:rPr>
              <w:t>废气处理</w:t>
            </w:r>
            <w:r>
              <w:rPr>
                <w:rFonts w:ascii="Times New Roman" w:hAnsi="Times New Roman" w:eastAsia="宋体" w:cs="Times New Roman"/>
                <w:color w:val="000000" w:themeColor="text1"/>
                <w:sz w:val="24"/>
                <w:szCs w:val="24"/>
                <w:lang w:eastAsia="zh-CN"/>
                <w14:textFill>
                  <w14:solidFill>
                    <w14:schemeClr w14:val="tx1"/>
                  </w14:solidFill>
                </w14:textFill>
              </w:rPr>
              <w:t>工况记录：</w:t>
            </w:r>
          </w:p>
          <w:p>
            <w:pPr>
              <w:spacing w:line="360" w:lineRule="auto"/>
              <w:ind w:firstLine="480" w:firstLineChars="200"/>
              <w:jc w:val="both"/>
              <w:rPr>
                <w:rFonts w:hint="eastAsia" w:ascii="Times New Roman" w:hAnsi="Times New Roman" w:eastAsia="宋体" w:cs="Times New Roman"/>
                <w:color w:val="auto"/>
                <w:sz w:val="24"/>
                <w:szCs w:val="24"/>
                <w:lang w:val="en-US" w:eastAsia="zh-CN"/>
              </w:rPr>
            </w:pPr>
            <w:r>
              <w:rPr>
                <w:rFonts w:hint="default" w:ascii="Times New Roman" w:hAnsi="Times New Roman" w:cs="Times New Roman"/>
                <w:bCs/>
                <w:color w:val="auto"/>
                <w:sz w:val="24"/>
                <w:szCs w:val="24"/>
              </w:rPr>
              <w:t>根据《建设项目竣工环境保护验收技术指南 污染影响类》的工况记录推荐方法，采用</w:t>
            </w:r>
            <w:r>
              <w:rPr>
                <w:rFonts w:hint="default" w:ascii="Times New Roman" w:hAnsi="Times New Roman" w:cs="Times New Roman"/>
                <w:bCs/>
                <w:color w:val="auto"/>
                <w:sz w:val="24"/>
                <w:szCs w:val="24"/>
                <w:lang w:val="en-US" w:eastAsia="zh-CN"/>
              </w:rPr>
              <w:t>记录</w:t>
            </w:r>
            <w:r>
              <w:rPr>
                <w:rFonts w:hint="eastAsia" w:ascii="Times New Roman" w:hAnsi="Times New Roman" w:cs="Times New Roman"/>
                <w:bCs/>
                <w:color w:val="auto"/>
                <w:sz w:val="24"/>
                <w:szCs w:val="24"/>
                <w:lang w:val="en-US" w:eastAsia="zh-CN"/>
              </w:rPr>
              <w:t>废气处理装置</w:t>
            </w:r>
            <w:r>
              <w:rPr>
                <w:rFonts w:hint="default" w:ascii="Times New Roman" w:hAnsi="Times New Roman" w:cs="Times New Roman"/>
                <w:bCs/>
                <w:color w:val="auto"/>
                <w:sz w:val="24"/>
                <w:szCs w:val="24"/>
                <w:lang w:val="en-US" w:eastAsia="zh-CN"/>
              </w:rPr>
              <w:t>进口累计流量核定工况</w:t>
            </w:r>
            <w:r>
              <w:rPr>
                <w:rFonts w:hint="default" w:ascii="Times New Roman" w:hAnsi="Times New Roman" w:cs="Times New Roman"/>
                <w:bCs/>
                <w:color w:val="auto"/>
                <w:sz w:val="24"/>
                <w:szCs w:val="24"/>
              </w:rPr>
              <w:t>。</w:t>
            </w:r>
            <w:r>
              <w:rPr>
                <w:rFonts w:hint="default" w:ascii="Times New Roman" w:hAnsi="Times New Roman" w:cs="Times New Roman"/>
                <w:bCs/>
                <w:color w:val="auto"/>
                <w:sz w:val="24"/>
                <w:szCs w:val="24"/>
                <w:lang w:val="en-US" w:eastAsia="zh-CN"/>
              </w:rPr>
              <w:t>本项目监测期间</w:t>
            </w:r>
            <w:r>
              <w:rPr>
                <w:rFonts w:hint="eastAsia" w:ascii="Times New Roman" w:hAnsi="Times New Roman" w:cs="Times New Roman"/>
                <w:bCs/>
                <w:color w:val="auto"/>
                <w:sz w:val="24"/>
                <w:szCs w:val="24"/>
                <w:lang w:val="en-US" w:eastAsia="zh-CN"/>
              </w:rPr>
              <w:t>废气处理装置</w:t>
            </w:r>
            <w:r>
              <w:rPr>
                <w:rFonts w:hint="default" w:ascii="Times New Roman" w:hAnsi="Times New Roman" w:cs="Times New Roman"/>
                <w:bCs/>
                <w:color w:val="auto"/>
                <w:sz w:val="24"/>
                <w:szCs w:val="24"/>
                <w:lang w:val="en-US" w:eastAsia="zh-CN"/>
              </w:rPr>
              <w:t>进口累计流量见下表。</w:t>
            </w:r>
            <w:r>
              <w:rPr>
                <w:rFonts w:hint="default" w:ascii="Times New Roman" w:hAnsi="Times New Roman" w:eastAsia="宋体" w:cs="Times New Roman"/>
                <w:color w:val="auto"/>
                <w:spacing w:val="-4"/>
                <w:sz w:val="24"/>
                <w:szCs w:val="24"/>
              </w:rPr>
              <w:t>按设计</w:t>
            </w:r>
            <w:r>
              <w:rPr>
                <w:rFonts w:hint="eastAsia" w:ascii="Times New Roman" w:hAnsi="Times New Roman" w:eastAsia="宋体" w:cs="Times New Roman"/>
                <w:color w:val="auto"/>
                <w:spacing w:val="-4"/>
                <w:sz w:val="24"/>
                <w:szCs w:val="24"/>
                <w:lang w:eastAsia="zh-CN"/>
              </w:rPr>
              <w:t>废气</w:t>
            </w:r>
            <w:r>
              <w:rPr>
                <w:rFonts w:hint="default" w:ascii="Times New Roman" w:hAnsi="Times New Roman" w:eastAsia="宋体" w:cs="Times New Roman"/>
                <w:color w:val="auto"/>
                <w:spacing w:val="-4"/>
                <w:sz w:val="24"/>
                <w:szCs w:val="24"/>
              </w:rPr>
              <w:t>日处理量来计算，验收监测期间工况表见</w:t>
            </w:r>
            <w:r>
              <w:rPr>
                <w:rFonts w:hint="eastAsia" w:ascii="Times New Roman" w:hAnsi="Times New Roman" w:eastAsia="宋体" w:cs="Times New Roman"/>
                <w:color w:val="auto"/>
                <w:sz w:val="24"/>
                <w:szCs w:val="24"/>
                <w:lang w:eastAsia="zh-CN"/>
              </w:rPr>
              <w:t>表</w:t>
            </w:r>
            <w:r>
              <w:rPr>
                <w:rFonts w:hint="eastAsia" w:ascii="Times New Roman" w:hAnsi="Times New Roman" w:eastAsia="宋体" w:cs="Times New Roman"/>
                <w:color w:val="auto"/>
                <w:sz w:val="24"/>
                <w:szCs w:val="24"/>
                <w:lang w:val="en-US" w:eastAsia="zh-CN"/>
              </w:rPr>
              <w:t>14。</w:t>
            </w:r>
          </w:p>
          <w:p>
            <w:pPr>
              <w:spacing w:line="360" w:lineRule="auto"/>
              <w:jc w:val="center"/>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表14  验收监测期间工况分析表</w:t>
            </w:r>
          </w:p>
          <w:tbl>
            <w:tblPr>
              <w:tblStyle w:val="17"/>
              <w:tblW w:w="4969" w:type="pct"/>
              <w:tblInd w:w="5" w:type="dxa"/>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2732"/>
              <w:gridCol w:w="2670"/>
              <w:gridCol w:w="2115"/>
            </w:tblGrid>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635" w:type="pct"/>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监测时间</w:t>
                  </w:r>
                </w:p>
              </w:tc>
              <w:tc>
                <w:tcPr>
                  <w:tcW w:w="1586" w:type="pct"/>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废气类别</w:t>
                  </w:r>
                </w:p>
              </w:tc>
              <w:tc>
                <w:tcPr>
                  <w:tcW w:w="1550" w:type="pct"/>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实际废气当日处理量(</w:t>
                  </w:r>
                  <w:r>
                    <w:rPr>
                      <w:rFonts w:hint="eastAsia" w:ascii="宋体" w:hAnsi="宋体" w:eastAsia="宋体" w:cs="宋体"/>
                      <w:b/>
                      <w:bCs/>
                      <w:color w:val="000000" w:themeColor="text1"/>
                      <w:sz w:val="21"/>
                      <w:szCs w:val="21"/>
                      <w:lang w:eastAsia="zh-CN"/>
                      <w14:textFill>
                        <w14:solidFill>
                          <w14:schemeClr w14:val="tx1"/>
                        </w14:solidFill>
                      </w14:textFill>
                    </w:rPr>
                    <w:t>m</w:t>
                  </w:r>
                  <w:r>
                    <w:rPr>
                      <w:rFonts w:hint="eastAsia" w:ascii="宋体" w:hAnsi="宋体" w:eastAsia="宋体" w:cs="宋体"/>
                      <w:b/>
                      <w:bCs/>
                      <w:color w:val="000000" w:themeColor="text1"/>
                      <w:sz w:val="21"/>
                      <w:szCs w:val="21"/>
                      <w:vertAlign w:val="superscript"/>
                      <w:lang w:eastAsia="zh-CN"/>
                      <w14:textFill>
                        <w14:solidFill>
                          <w14:schemeClr w14:val="tx1"/>
                        </w14:solidFill>
                      </w14:textFill>
                    </w:rPr>
                    <w:t>3</w:t>
                  </w:r>
                  <w:r>
                    <w:rPr>
                      <w:rFonts w:hint="eastAsia" w:ascii="宋体" w:hAnsi="宋体" w:eastAsia="宋体" w:cs="宋体"/>
                      <w:b/>
                      <w:bCs/>
                      <w:color w:val="000000" w:themeColor="text1"/>
                      <w:sz w:val="21"/>
                      <w:szCs w:val="21"/>
                      <w:lang w:eastAsia="zh-CN"/>
                      <w14:textFill>
                        <w14:solidFill>
                          <w14:schemeClr w14:val="tx1"/>
                        </w14:solidFill>
                      </w14:textFill>
                    </w:rPr>
                    <w:t>/h</w:t>
                  </w:r>
                  <w:r>
                    <w:rPr>
                      <w:rFonts w:hint="eastAsia" w:ascii="宋体" w:hAnsi="宋体" w:eastAsia="宋体" w:cs="宋体"/>
                      <w:b/>
                      <w:bCs/>
                      <w:sz w:val="21"/>
                      <w:szCs w:val="21"/>
                      <w:vertAlign w:val="baseline"/>
                      <w:lang w:val="en-US" w:eastAsia="zh-CN"/>
                    </w:rPr>
                    <w:t>)</w:t>
                  </w:r>
                </w:p>
              </w:tc>
              <w:tc>
                <w:tcPr>
                  <w:tcW w:w="1227" w:type="pct"/>
                  <w:tcBorders>
                    <w:tl2br w:val="nil"/>
                    <w:tr2bl w:val="nil"/>
                  </w:tcBorders>
                  <w:shd w:val="clear" w:color="auto" w:fill="D7D7D7" w:themeFill="background1" w:themeFillShade="D8"/>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设计废气日处理量</w:t>
                  </w:r>
                </w:p>
                <w:p>
                  <w:pPr>
                    <w:pStyle w:val="2"/>
                    <w:keepNext w:val="0"/>
                    <w:keepLines w:val="0"/>
                    <w:pageBreakBefore w:val="0"/>
                    <w:widowControl w:val="0"/>
                    <w:kinsoku/>
                    <w:wordWrap/>
                    <w:overflowPunct/>
                    <w:topLinePunct w:val="0"/>
                    <w:autoSpaceDE w:val="0"/>
                    <w:autoSpaceDN w:val="0"/>
                    <w:bidi w:val="0"/>
                    <w:adjustRightInd/>
                    <w:snapToGrid/>
                    <w:ind w:firstLine="632" w:firstLineChars="300"/>
                    <w:jc w:val="both"/>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vertAlign w:val="baseline"/>
                      <w:lang w:val="en-US" w:eastAsia="zh-CN"/>
                    </w:rPr>
                    <w:t>(</w:t>
                  </w:r>
                  <w:r>
                    <w:rPr>
                      <w:rFonts w:hint="eastAsia" w:ascii="宋体" w:hAnsi="宋体" w:eastAsia="宋体" w:cs="宋体"/>
                      <w:b/>
                      <w:bCs/>
                      <w:color w:val="000000" w:themeColor="text1"/>
                      <w:sz w:val="21"/>
                      <w:szCs w:val="21"/>
                      <w:lang w:eastAsia="zh-CN"/>
                      <w14:textFill>
                        <w14:solidFill>
                          <w14:schemeClr w14:val="tx1"/>
                        </w14:solidFill>
                      </w14:textFill>
                    </w:rPr>
                    <w:t>m</w:t>
                  </w:r>
                  <w:r>
                    <w:rPr>
                      <w:rFonts w:hint="eastAsia" w:ascii="宋体" w:hAnsi="宋体" w:eastAsia="宋体" w:cs="宋体"/>
                      <w:b/>
                      <w:bCs/>
                      <w:color w:val="000000" w:themeColor="text1"/>
                      <w:sz w:val="21"/>
                      <w:szCs w:val="21"/>
                      <w:vertAlign w:val="superscript"/>
                      <w:lang w:eastAsia="zh-CN"/>
                      <w14:textFill>
                        <w14:solidFill>
                          <w14:schemeClr w14:val="tx1"/>
                        </w14:solidFill>
                      </w14:textFill>
                    </w:rPr>
                    <w:t>3</w:t>
                  </w:r>
                  <w:r>
                    <w:rPr>
                      <w:rFonts w:hint="eastAsia" w:ascii="宋体" w:hAnsi="宋体" w:eastAsia="宋体" w:cs="宋体"/>
                      <w:b/>
                      <w:bCs/>
                      <w:color w:val="000000" w:themeColor="text1"/>
                      <w:sz w:val="21"/>
                      <w:szCs w:val="21"/>
                      <w:lang w:eastAsia="zh-CN"/>
                      <w14:textFill>
                        <w14:solidFill>
                          <w14:schemeClr w14:val="tx1"/>
                        </w14:solidFill>
                      </w14:textFill>
                    </w:rPr>
                    <w:t>/h</w:t>
                  </w:r>
                  <w:r>
                    <w:rPr>
                      <w:rFonts w:hint="eastAsia" w:ascii="宋体" w:hAnsi="宋体" w:eastAsia="宋体" w:cs="宋体"/>
                      <w:b/>
                      <w:bCs/>
                      <w:sz w:val="21"/>
                      <w:szCs w:val="21"/>
                      <w:vertAlign w:val="baseline"/>
                      <w:lang w:val="en-US" w:eastAsia="zh-CN"/>
                    </w:rPr>
                    <w:t>)</w:t>
                  </w:r>
                </w:p>
              </w:tc>
            </w:tr>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3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color w:val="000000" w:themeColor="text1"/>
                      <w:sz w:val="21"/>
                      <w:szCs w:val="21"/>
                      <w:lang w:val="en-US" w:eastAsia="zh-CN"/>
                      <w14:textFill>
                        <w14:solidFill>
                          <w14:schemeClr w14:val="tx1"/>
                        </w14:solidFill>
                      </w14:textFill>
                    </w:rPr>
                    <w:t>9月23</w:t>
                  </w:r>
                </w:p>
              </w:tc>
              <w:tc>
                <w:tcPr>
                  <w:tcW w:w="1586"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color w:val="000000" w:themeColor="text1"/>
                      <w:sz w:val="21"/>
                      <w:szCs w:val="21"/>
                      <w:lang w:eastAsia="zh-CN"/>
                      <w14:textFill>
                        <w14:solidFill>
                          <w14:schemeClr w14:val="tx1"/>
                        </w14:solidFill>
                      </w14:textFill>
                    </w:rPr>
                    <w:t>VOCs废气处理装置废气</w:t>
                  </w:r>
                </w:p>
              </w:tc>
              <w:tc>
                <w:tcPr>
                  <w:tcW w:w="1550"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1506</w:t>
                  </w:r>
                </w:p>
              </w:tc>
              <w:tc>
                <w:tcPr>
                  <w:tcW w:w="1227" w:type="pct"/>
                  <w:vMerge w:val="restar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6000</w:t>
                  </w:r>
                </w:p>
              </w:tc>
            </w:tr>
            <w:tr>
              <w:tblPrEx>
                <w:tblBorders>
                  <w:top w:val="single" w:color="auto" w:sz="12" w:space="0"/>
                  <w:left w:val="none" w:color="auto" w:sz="0"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635"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color w:val="000000" w:themeColor="text1"/>
                      <w:sz w:val="21"/>
                      <w:szCs w:val="21"/>
                      <w:lang w:val="en-US" w:eastAsia="zh-CN"/>
                      <w14:textFill>
                        <w14:solidFill>
                          <w14:schemeClr w14:val="tx1"/>
                        </w14:solidFill>
                      </w14:textFill>
                    </w:rPr>
                    <w:t>9月24</w:t>
                  </w:r>
                </w:p>
              </w:tc>
              <w:tc>
                <w:tcPr>
                  <w:tcW w:w="1586"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color w:val="000000" w:themeColor="text1"/>
                      <w:sz w:val="21"/>
                      <w:szCs w:val="21"/>
                      <w:lang w:eastAsia="zh-CN"/>
                      <w14:textFill>
                        <w14:solidFill>
                          <w14:schemeClr w14:val="tx1"/>
                        </w14:solidFill>
                      </w14:textFill>
                    </w:rPr>
                    <w:t>VOCs废气处理装置废气</w:t>
                  </w:r>
                </w:p>
              </w:tc>
              <w:tc>
                <w:tcPr>
                  <w:tcW w:w="1550"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1506</w:t>
                  </w:r>
                </w:p>
              </w:tc>
              <w:tc>
                <w:tcPr>
                  <w:tcW w:w="1227" w:type="pct"/>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r>
          </w:tbl>
          <w:p>
            <w:pPr>
              <w:spacing w:line="360" w:lineRule="auto"/>
              <w:jc w:val="both"/>
              <w:rPr>
                <w:rFonts w:ascii="Times New Roman" w:hAnsi="Times New Roman" w:eastAsia="宋体" w:cs="Times New Roman"/>
                <w:color w:val="auto"/>
                <w:sz w:val="24"/>
                <w:szCs w:val="24"/>
                <w:lang w:eastAsia="zh-CN"/>
              </w:rPr>
            </w:pPr>
            <w:r>
              <w:rPr>
                <w:rFonts w:ascii="Times New Roman" w:hAnsi="Times New Roman" w:eastAsia="宋体" w:cs="Times New Roman"/>
                <w:color w:val="auto"/>
                <w:sz w:val="24"/>
                <w:szCs w:val="24"/>
                <w:lang w:eastAsia="zh-CN"/>
              </w:rPr>
              <w:t>验收监测结果：</w:t>
            </w:r>
          </w:p>
          <w:p>
            <w:pPr>
              <w:pStyle w:val="2"/>
              <w:numPr>
                <w:ilvl w:val="0"/>
                <w:numId w:val="4"/>
              </w:numPr>
              <w:spacing w:line="360" w:lineRule="auto"/>
              <w:ind w:firstLine="480" w:firstLineChars="200"/>
              <w:jc w:val="both"/>
              <w:rPr>
                <w:rFonts w:ascii="Times New Roman" w:hAnsi="Times New Roman" w:eastAsia="宋体" w:cs="Times New Roman"/>
              </w:rPr>
            </w:pPr>
            <w:r>
              <w:rPr>
                <w:rFonts w:ascii="Times New Roman" w:hAnsi="Times New Roman" w:eastAsia="宋体" w:cs="Times New Roman"/>
              </w:rPr>
              <w:t>废水监测结果及评价</w:t>
            </w:r>
          </w:p>
          <w:p>
            <w:pPr>
              <w:spacing w:line="360" w:lineRule="auto"/>
              <w:ind w:left="480"/>
              <w:jc w:val="both"/>
              <w:rPr>
                <w:rFonts w:ascii="Times New Roman" w:hAnsi="Times New Roman" w:eastAsia="宋体" w:cs="Times New Roman"/>
                <w:color w:val="000000" w:themeColor="text1"/>
                <w:sz w:val="24"/>
                <w:szCs w:val="24"/>
                <w:lang w:eastAsia="zh-CN"/>
                <w14:textFill>
                  <w14:solidFill>
                    <w14:schemeClr w14:val="tx1"/>
                  </w14:solidFill>
                </w14:textFill>
              </w:rPr>
            </w:pPr>
            <w:r>
              <w:rPr>
                <w:rFonts w:ascii="Times New Roman" w:hAnsi="Times New Roman" w:eastAsia="宋体" w:cs="Times New Roman"/>
                <w:sz w:val="24"/>
                <w:szCs w:val="24"/>
                <w:lang w:eastAsia="zh-CN"/>
              </w:rPr>
              <w:t>废水水质监测结果见</w:t>
            </w:r>
            <w:r>
              <w:rPr>
                <w:rFonts w:ascii="Times New Roman" w:hAnsi="Times New Roman" w:eastAsia="宋体" w:cs="Times New Roman"/>
                <w:color w:val="000000" w:themeColor="text1"/>
                <w:sz w:val="24"/>
                <w:szCs w:val="24"/>
                <w:lang w:eastAsia="zh-CN"/>
                <w14:textFill>
                  <w14:solidFill>
                    <w14:schemeClr w14:val="tx1"/>
                  </w14:solidFill>
                </w14:textFill>
              </w:rPr>
              <w:t>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15</w:t>
            </w:r>
            <w:r>
              <w:rPr>
                <w:rFonts w:ascii="Times New Roman" w:hAnsi="Times New Roman" w:eastAsia="宋体" w:cs="Times New Roman"/>
                <w:color w:val="000000" w:themeColor="text1"/>
                <w:sz w:val="24"/>
                <w:szCs w:val="24"/>
                <w:lang w:eastAsia="zh-CN"/>
                <w14:textFill>
                  <w14:solidFill>
                    <w14:schemeClr w14:val="tx1"/>
                  </w14:solidFill>
                </w14:textFill>
              </w:rPr>
              <w:t>。</w:t>
            </w:r>
          </w:p>
          <w:p>
            <w:pPr>
              <w:spacing w:line="360" w:lineRule="auto"/>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表</w:t>
            </w:r>
            <w:r>
              <w:rPr>
                <w:rFonts w:hint="eastAsia" w:ascii="Times New Roman" w:hAnsi="Times New Roman" w:eastAsia="宋体" w:cs="Times New Roman"/>
                <w:b/>
                <w:bCs/>
                <w:sz w:val="21"/>
                <w:szCs w:val="21"/>
                <w:lang w:val="en-US" w:eastAsia="zh-CN"/>
              </w:rPr>
              <w:t>15</w:t>
            </w:r>
            <w:r>
              <w:rPr>
                <w:rFonts w:hint="default" w:ascii="Times New Roman" w:hAnsi="Times New Roman" w:eastAsia="宋体" w:cs="Times New Roman"/>
                <w:b/>
                <w:bCs/>
                <w:sz w:val="21"/>
                <w:szCs w:val="21"/>
                <w:lang w:val="en-US" w:eastAsia="zh-CN"/>
              </w:rPr>
              <w:t xml:space="preserve">  </w:t>
            </w:r>
            <w:r>
              <w:rPr>
                <w:rFonts w:hint="eastAsia" w:ascii="Times New Roman" w:hAnsi="Times New Roman" w:eastAsia="宋体" w:cs="Times New Roman"/>
                <w:b/>
                <w:bCs/>
                <w:sz w:val="21"/>
                <w:szCs w:val="21"/>
                <w:lang w:val="en-US" w:eastAsia="zh-CN"/>
              </w:rPr>
              <w:t>项目</w:t>
            </w:r>
            <w:r>
              <w:rPr>
                <w:rFonts w:hint="default" w:ascii="Times New Roman" w:hAnsi="Times New Roman" w:eastAsia="宋体" w:cs="Times New Roman"/>
                <w:b/>
                <w:bCs/>
                <w:sz w:val="21"/>
                <w:szCs w:val="21"/>
                <w:lang w:val="en-US" w:eastAsia="zh-CN"/>
              </w:rPr>
              <w:t>废水监测结果一览表</w:t>
            </w:r>
          </w:p>
          <w:tbl>
            <w:tblPr>
              <w:tblStyle w:val="16"/>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794"/>
              <w:gridCol w:w="609"/>
              <w:gridCol w:w="732"/>
              <w:gridCol w:w="846"/>
              <w:gridCol w:w="822"/>
              <w:gridCol w:w="841"/>
              <w:gridCol w:w="1146"/>
              <w:gridCol w:w="1271"/>
              <w:gridCol w:w="160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458"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采样</w:t>
                  </w:r>
                </w:p>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点位</w:t>
                  </w:r>
                </w:p>
              </w:tc>
              <w:tc>
                <w:tcPr>
                  <w:tcW w:w="351"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检测</w:t>
                  </w:r>
                </w:p>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项目</w:t>
                  </w:r>
                </w:p>
              </w:tc>
              <w:tc>
                <w:tcPr>
                  <w:tcW w:w="422"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采样时间</w:t>
                  </w:r>
                </w:p>
              </w:tc>
              <w:tc>
                <w:tcPr>
                  <w:tcW w:w="2108" w:type="pct"/>
                  <w:gridSpan w:val="4"/>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检测频次及结果</w:t>
                  </w:r>
                  <w:r>
                    <w:rPr>
                      <w:rFonts w:hint="eastAsia" w:ascii="宋体" w:hAnsi="宋体" w:eastAsia="宋体" w:cs="宋体"/>
                      <w:b/>
                      <w:bCs/>
                      <w:sz w:val="21"/>
                      <w:szCs w:val="21"/>
                    </w:rPr>
                    <w:t>（单位：mg/L，pH为无量纲）</w:t>
                  </w:r>
                </w:p>
              </w:tc>
              <w:tc>
                <w:tcPr>
                  <w:tcW w:w="733" w:type="pct"/>
                  <w:vMerge w:val="restar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两日最大浓度值（</w:t>
                  </w:r>
                  <w:r>
                    <w:rPr>
                      <w:rFonts w:hint="eastAsia" w:ascii="宋体" w:hAnsi="宋体" w:eastAsia="宋体" w:cs="宋体"/>
                      <w:b/>
                      <w:bCs/>
                      <w:sz w:val="21"/>
                      <w:szCs w:val="21"/>
                      <w:lang w:val="en-US" w:eastAsia="zh-CN"/>
                    </w:rPr>
                    <w:t>PH 为浓度范围</w:t>
                  </w:r>
                  <w:r>
                    <w:rPr>
                      <w:rFonts w:hint="eastAsia" w:ascii="宋体" w:hAnsi="宋体" w:eastAsia="宋体" w:cs="宋体"/>
                      <w:b/>
                      <w:bCs/>
                      <w:sz w:val="21"/>
                      <w:szCs w:val="21"/>
                      <w:lang w:eastAsia="zh-CN"/>
                    </w:rPr>
                    <w:t>）</w:t>
                  </w:r>
                </w:p>
              </w:tc>
              <w:tc>
                <w:tcPr>
                  <w:tcW w:w="925" w:type="pct"/>
                  <w:vMerge w:val="restart"/>
                  <w:tcBorders>
                    <w:tl2br w:val="nil"/>
                    <w:tr2bl w:val="nil"/>
                  </w:tcBorders>
                  <w:shd w:val="clear" w:color="auto" w:fill="D7D7D7" w:themeFill="background1" w:themeFillShade="D8"/>
                  <w:vAlign w:val="center"/>
                </w:tcPr>
                <w:p>
                  <w:pPr>
                    <w:pStyle w:val="2"/>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宋体" w:hAnsi="宋体" w:eastAsia="宋体" w:cs="宋体"/>
                      <w:b/>
                      <w:bCs w:val="0"/>
                      <w:color w:val="auto"/>
                      <w:kern w:val="2"/>
                      <w:sz w:val="21"/>
                      <w:szCs w:val="21"/>
                    </w:rPr>
                  </w:pPr>
                  <w:r>
                    <w:rPr>
                      <w:rFonts w:hint="eastAsia" w:ascii="宋体" w:hAnsi="宋体" w:eastAsia="宋体" w:cs="宋体"/>
                      <w:b/>
                      <w:bCs w:val="0"/>
                      <w:color w:val="auto"/>
                      <w:kern w:val="2"/>
                      <w:sz w:val="21"/>
                      <w:szCs w:val="21"/>
                    </w:rPr>
                    <w:t>排放标准限值</w:t>
                  </w:r>
                </w:p>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color w:val="auto"/>
                      <w:sz w:val="21"/>
                      <w:szCs w:val="21"/>
                      <w:lang w:eastAsia="zh-CN"/>
                    </w:rPr>
                    <w:t>（</w:t>
                  </w:r>
                  <w:r>
                    <w:rPr>
                      <w:rFonts w:hint="eastAsia" w:ascii="宋体" w:hAnsi="宋体" w:eastAsia="宋体" w:cs="宋体"/>
                      <w:b/>
                      <w:bCs w:val="0"/>
                      <w:color w:val="auto"/>
                      <w:kern w:val="2"/>
                      <w:sz w:val="21"/>
                      <w:szCs w:val="21"/>
                      <w:lang w:val="en-US" w:eastAsia="zh-CN"/>
                    </w:rPr>
                    <w:t>mg/L</w:t>
                  </w:r>
                  <w:r>
                    <w:rPr>
                      <w:rFonts w:hint="eastAsia" w:ascii="宋体" w:hAnsi="宋体" w:eastAsia="宋体" w:cs="宋体"/>
                      <w:b/>
                      <w:bCs/>
                      <w:color w:val="auto"/>
                      <w:sz w:val="21"/>
                      <w:szCs w:val="21"/>
                      <w:vertAlign w:val="baseline"/>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p>
              </w:tc>
              <w:tc>
                <w:tcPr>
                  <w:tcW w:w="351"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p>
              </w:tc>
              <w:tc>
                <w:tcPr>
                  <w:tcW w:w="422"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p>
              </w:tc>
              <w:tc>
                <w:tcPr>
                  <w:tcW w:w="488"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第1次</w:t>
                  </w:r>
                </w:p>
              </w:tc>
              <w:tc>
                <w:tcPr>
                  <w:tcW w:w="474"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第2次</w:t>
                  </w:r>
                </w:p>
              </w:tc>
              <w:tc>
                <w:tcPr>
                  <w:tcW w:w="485"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第3次</w:t>
                  </w:r>
                </w:p>
              </w:tc>
              <w:tc>
                <w:tcPr>
                  <w:tcW w:w="660" w:type="pct"/>
                  <w:tcBorders>
                    <w:tl2br w:val="nil"/>
                    <w:tr2bl w:val="nil"/>
                  </w:tcBorders>
                  <w:shd w:val="clear" w:color="auto" w:fill="D7D7D7" w:themeFill="background1" w:themeFillShade="D8"/>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第</w:t>
                  </w:r>
                  <w:r>
                    <w:rPr>
                      <w:rFonts w:hint="eastAsia" w:ascii="宋体" w:hAnsi="宋体" w:eastAsia="宋体" w:cs="宋体"/>
                      <w:b/>
                      <w:bCs/>
                      <w:sz w:val="21"/>
                      <w:szCs w:val="21"/>
                      <w:lang w:val="en-US" w:eastAsia="zh-CN"/>
                    </w:rPr>
                    <w:t>4</w:t>
                  </w:r>
                  <w:r>
                    <w:rPr>
                      <w:rFonts w:hint="eastAsia" w:ascii="宋体" w:hAnsi="宋体" w:eastAsia="宋体" w:cs="宋体"/>
                      <w:b/>
                      <w:bCs/>
                      <w:sz w:val="21"/>
                      <w:szCs w:val="21"/>
                      <w:lang w:eastAsia="zh-CN"/>
                    </w:rPr>
                    <w:t>次</w:t>
                  </w:r>
                </w:p>
              </w:tc>
              <w:tc>
                <w:tcPr>
                  <w:tcW w:w="733"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p>
              </w:tc>
              <w:tc>
                <w:tcPr>
                  <w:tcW w:w="925"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bCs/>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38" w:hRule="atLeast"/>
                <w:jc w:val="center"/>
              </w:trPr>
              <w:tc>
                <w:tcPr>
                  <w:tcW w:w="458" w:type="pct"/>
                  <w:vMerge w:val="restart"/>
                  <w:tcBorders>
                    <w:tl2br w:val="nil"/>
                    <w:tr2bl w:val="nil"/>
                  </w:tcBorders>
                  <w:vAlign w:val="center"/>
                </w:tcPr>
                <w:p>
                  <w:pPr>
                    <w:pStyle w:val="24"/>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脱硫塔废水排口</w:t>
                  </w:r>
                </w:p>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restart"/>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r>
                    <w:rPr>
                      <w:rFonts w:hint="eastAsia" w:ascii="宋体" w:hAnsi="宋体" w:eastAsia="宋体" w:cs="宋体"/>
                      <w:kern w:val="0"/>
                      <w:sz w:val="21"/>
                      <w:szCs w:val="21"/>
                      <w:highlight w:val="none"/>
                      <w:lang w:val="en-US" w:eastAsia="zh-CN"/>
                    </w:rPr>
                    <w:t>PH</w:t>
                  </w: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9.23</w:t>
                  </w:r>
                </w:p>
              </w:tc>
              <w:tc>
                <w:tcPr>
                  <w:tcW w:w="488"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i w:val="0"/>
                      <w:color w:val="000000"/>
                      <w:kern w:val="0"/>
                      <w:sz w:val="21"/>
                      <w:szCs w:val="21"/>
                      <w:u w:val="none"/>
                      <w:lang w:val="en-US" w:eastAsia="zh-CN" w:bidi="ar"/>
                    </w:rPr>
                    <w:t>6.95</w:t>
                  </w:r>
                </w:p>
              </w:tc>
              <w:tc>
                <w:tcPr>
                  <w:tcW w:w="474"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6.98</w:t>
                  </w:r>
                </w:p>
              </w:tc>
              <w:tc>
                <w:tcPr>
                  <w:tcW w:w="485"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7.46</w:t>
                  </w:r>
                </w:p>
              </w:tc>
              <w:tc>
                <w:tcPr>
                  <w:tcW w:w="660"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snapToGrid/>
                    <w:spacing w:line="240" w:lineRule="auto"/>
                    <w:jc w:val="center"/>
                    <w:textAlignment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7.09</w:t>
                  </w:r>
                </w:p>
              </w:tc>
              <w:tc>
                <w:tcPr>
                  <w:tcW w:w="733" w:type="pct"/>
                  <w:vMerge w:val="restart"/>
                  <w:tcBorders>
                    <w:tl2br w:val="nil"/>
                    <w:tr2bl w:val="nil"/>
                  </w:tcBorders>
                  <w:vAlign w:val="center"/>
                </w:tcPr>
                <w:p>
                  <w:pPr>
                    <w:pStyle w:val="29"/>
                    <w:keepNext w:val="0"/>
                    <w:keepLines w:val="0"/>
                    <w:pageBreakBefore w:val="0"/>
                    <w:kinsoku/>
                    <w:wordWrap/>
                    <w:overflowPunct/>
                    <w:topLinePunct w:val="0"/>
                    <w:bidi w:val="0"/>
                    <w:adjustRightInd/>
                    <w:snapToGrid/>
                    <w:spacing w:line="240" w:lineRule="auto"/>
                    <w:ind w:firstLine="0" w:firstLineChars="0"/>
                    <w:contextualSpacing/>
                    <w:jc w:val="center"/>
                    <w:textAlignment w:val="auto"/>
                    <w:rPr>
                      <w:rFonts w:hint="eastAsia" w:ascii="宋体" w:hAnsi="宋体" w:eastAsia="宋体" w:cs="宋体"/>
                      <w:b w:val="0"/>
                      <w:bCs w:val="0"/>
                      <w:kern w:val="2"/>
                      <w:sz w:val="21"/>
                      <w:szCs w:val="21"/>
                      <w:lang w:val="en-US" w:eastAsia="zh-CN"/>
                    </w:rPr>
                  </w:pPr>
                  <w:r>
                    <w:rPr>
                      <w:rFonts w:hint="eastAsia" w:ascii="宋体" w:hAnsi="宋体" w:eastAsia="宋体" w:cs="宋体"/>
                      <w:b w:val="0"/>
                      <w:bCs w:val="0"/>
                      <w:kern w:val="2"/>
                      <w:sz w:val="21"/>
                      <w:szCs w:val="21"/>
                      <w:lang w:val="en-US" w:eastAsia="zh-CN"/>
                    </w:rPr>
                    <w:t>6.95-7.52</w:t>
                  </w:r>
                </w:p>
              </w:tc>
              <w:tc>
                <w:tcPr>
                  <w:tcW w:w="925"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29"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continue"/>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9.24</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7.09</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7.52</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7.28</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7.32</w:t>
                  </w:r>
                </w:p>
              </w:tc>
              <w:tc>
                <w:tcPr>
                  <w:tcW w:w="733"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c>
                <w:tcPr>
                  <w:tcW w:w="925"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restart"/>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r>
                    <w:rPr>
                      <w:rFonts w:hint="eastAsia" w:ascii="宋体" w:hAnsi="宋体" w:eastAsia="宋体" w:cs="宋体"/>
                      <w:kern w:val="0"/>
                      <w:sz w:val="21"/>
                      <w:szCs w:val="21"/>
                      <w:highlight w:val="none"/>
                      <w:lang w:val="en-US" w:eastAsia="zh-CN"/>
                    </w:rPr>
                    <w:t>COD</w:t>
                  </w: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9.23</w:t>
                  </w:r>
                </w:p>
              </w:tc>
              <w:tc>
                <w:tcPr>
                  <w:tcW w:w="845"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12</w:t>
                  </w:r>
                </w:p>
              </w:tc>
              <w:tc>
                <w:tcPr>
                  <w:tcW w:w="821"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14</w:t>
                  </w:r>
                </w:p>
              </w:tc>
              <w:tc>
                <w:tcPr>
                  <w:tcW w:w="840"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10</w:t>
                  </w:r>
                </w:p>
              </w:tc>
              <w:tc>
                <w:tcPr>
                  <w:tcW w:w="114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11</w:t>
                  </w:r>
                </w:p>
              </w:tc>
              <w:tc>
                <w:tcPr>
                  <w:tcW w:w="733" w:type="pct"/>
                  <w:vMerge w:val="restart"/>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color w:val="000000"/>
                      <w:kern w:val="0"/>
                      <w:sz w:val="21"/>
                      <w:szCs w:val="21"/>
                      <w:highlight w:val="none"/>
                      <w:lang w:val="en-US" w:eastAsia="zh-CN"/>
                    </w:rPr>
                    <w:t>16</w:t>
                  </w:r>
                </w:p>
              </w:tc>
              <w:tc>
                <w:tcPr>
                  <w:tcW w:w="925"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continue"/>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9.24</w:t>
                  </w:r>
                </w:p>
              </w:tc>
              <w:tc>
                <w:tcPr>
                  <w:tcW w:w="845"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16</w:t>
                  </w:r>
                </w:p>
              </w:tc>
              <w:tc>
                <w:tcPr>
                  <w:tcW w:w="821"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13</w:t>
                  </w:r>
                </w:p>
              </w:tc>
              <w:tc>
                <w:tcPr>
                  <w:tcW w:w="840"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11</w:t>
                  </w:r>
                </w:p>
              </w:tc>
              <w:tc>
                <w:tcPr>
                  <w:tcW w:w="114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highlight w:val="none"/>
                      <w:lang w:val="en-US" w:eastAsia="zh-CN"/>
                    </w:rPr>
                    <w:t>12</w:t>
                  </w:r>
                </w:p>
              </w:tc>
              <w:tc>
                <w:tcPr>
                  <w:tcW w:w="733"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c>
                <w:tcPr>
                  <w:tcW w:w="925"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restart"/>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r>
                    <w:rPr>
                      <w:rFonts w:hint="eastAsia" w:ascii="宋体" w:hAnsi="宋体" w:eastAsia="宋体" w:cs="宋体"/>
                      <w:kern w:val="0"/>
                      <w:sz w:val="21"/>
                      <w:szCs w:val="21"/>
                      <w:highlight w:val="none"/>
                      <w:lang w:eastAsia="zh-CN"/>
                    </w:rPr>
                    <w:t>挥发酚</w:t>
                  </w: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9.23</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0.004</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w:t>
                  </w:r>
                </w:p>
              </w:tc>
              <w:tc>
                <w:tcPr>
                  <w:tcW w:w="733"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0.007</w:t>
                  </w:r>
                </w:p>
              </w:tc>
              <w:tc>
                <w:tcPr>
                  <w:tcW w:w="925"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0.5</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continue"/>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9.24</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0.006</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0.003</w:t>
                  </w:r>
                </w:p>
              </w:tc>
              <w:tc>
                <w:tcPr>
                  <w:tcW w:w="733"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c>
                <w:tcPr>
                  <w:tcW w:w="925"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3"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restart"/>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r>
                    <w:rPr>
                      <w:rFonts w:hint="eastAsia" w:ascii="宋体" w:hAnsi="宋体" w:eastAsia="宋体" w:cs="宋体"/>
                      <w:kern w:val="0"/>
                      <w:sz w:val="21"/>
                      <w:szCs w:val="21"/>
                      <w:highlight w:val="none"/>
                      <w:lang w:eastAsia="zh-CN"/>
                    </w:rPr>
                    <w:t>硫化物</w:t>
                  </w: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9.23</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733"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eastAsia" w:ascii="宋体" w:hAnsi="宋体" w:eastAsia="宋体" w:cs="宋体"/>
                      <w:b w:val="0"/>
                      <w:bCs w:val="0"/>
                      <w:sz w:val="21"/>
                      <w:szCs w:val="21"/>
                      <w:lang w:eastAsia="zh-CN"/>
                    </w:rPr>
                  </w:pPr>
                  <w:r>
                    <w:rPr>
                      <w:rFonts w:hint="eastAsia" w:ascii="宋体" w:hAnsi="宋体" w:eastAsia="宋体" w:cs="宋体"/>
                      <w:b w:val="0"/>
                      <w:bCs w:val="0"/>
                      <w:color w:val="000000"/>
                      <w:kern w:val="0"/>
                      <w:sz w:val="21"/>
                      <w:szCs w:val="21"/>
                      <w:highlight w:val="none"/>
                      <w:lang w:val="en-US" w:eastAsia="zh-CN"/>
                    </w:rPr>
                    <w:t>ND</w:t>
                  </w:r>
                </w:p>
              </w:tc>
              <w:tc>
                <w:tcPr>
                  <w:tcW w:w="925"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continue"/>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9.24</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733"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c>
                <w:tcPr>
                  <w:tcW w:w="925"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restart"/>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r>
                    <w:rPr>
                      <w:rFonts w:hint="eastAsia" w:ascii="宋体" w:hAnsi="宋体" w:eastAsia="宋体" w:cs="宋体"/>
                      <w:kern w:val="0"/>
                      <w:sz w:val="21"/>
                      <w:szCs w:val="21"/>
                      <w:highlight w:val="none"/>
                      <w:lang w:eastAsia="zh-CN"/>
                    </w:rPr>
                    <w:t>氨氮</w:t>
                  </w: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9.23</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1.940</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1.770</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2.05</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2.22</w:t>
                  </w:r>
                </w:p>
              </w:tc>
              <w:tc>
                <w:tcPr>
                  <w:tcW w:w="733"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2.22</w:t>
                  </w:r>
                </w:p>
              </w:tc>
              <w:tc>
                <w:tcPr>
                  <w:tcW w:w="925"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3"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continue"/>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9.24</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2.12</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1.94</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2.04</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2.16</w:t>
                  </w:r>
                </w:p>
              </w:tc>
              <w:tc>
                <w:tcPr>
                  <w:tcW w:w="733"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c>
                <w:tcPr>
                  <w:tcW w:w="925"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4"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restart"/>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r>
                    <w:rPr>
                      <w:rFonts w:hint="eastAsia" w:ascii="宋体" w:hAnsi="宋体" w:eastAsia="宋体" w:cs="宋体"/>
                      <w:kern w:val="0"/>
                      <w:sz w:val="21"/>
                      <w:szCs w:val="21"/>
                      <w:highlight w:val="none"/>
                      <w:lang w:eastAsia="zh-CN"/>
                    </w:rPr>
                    <w:t>石油类</w:t>
                  </w: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9.23</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ND</w:t>
                  </w:r>
                </w:p>
              </w:tc>
              <w:tc>
                <w:tcPr>
                  <w:tcW w:w="733"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0.36</w:t>
                  </w:r>
                </w:p>
              </w:tc>
              <w:tc>
                <w:tcPr>
                  <w:tcW w:w="925"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3"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continue"/>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9.24</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0.36</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0.44</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0.41</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0.44</w:t>
                  </w:r>
                </w:p>
              </w:tc>
              <w:tc>
                <w:tcPr>
                  <w:tcW w:w="733"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c>
                <w:tcPr>
                  <w:tcW w:w="925"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77"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restart"/>
                  <w:tcBorders>
                    <w:tl2br w:val="nil"/>
                    <w:tr2bl w:val="nil"/>
                  </w:tcBorders>
                  <w:vAlign w:val="center"/>
                </w:tcPr>
                <w:p>
                  <w:pPr>
                    <w:keepNext w:val="0"/>
                    <w:keepLines w:val="0"/>
                    <w:pageBreakBefore w:val="0"/>
                    <w:kinsoku/>
                    <w:wordWrap/>
                    <w:overflowPunct/>
                    <w:topLinePunct w:val="0"/>
                    <w:bidi w:val="0"/>
                    <w:adjustRightInd/>
                    <w:snapToGrid/>
                    <w:spacing w:line="240" w:lineRule="auto"/>
                    <w:jc w:val="center"/>
                    <w:rPr>
                      <w:rFonts w:hint="eastAsia" w:ascii="宋体" w:hAnsi="宋体" w:eastAsia="宋体" w:cs="宋体"/>
                      <w:kern w:val="2"/>
                      <w:sz w:val="21"/>
                      <w:szCs w:val="21"/>
                      <w:lang w:eastAsia="zh-CN"/>
                    </w:rPr>
                  </w:pPr>
                  <w:r>
                    <w:rPr>
                      <w:rFonts w:hint="eastAsia" w:ascii="宋体" w:hAnsi="宋体" w:eastAsia="宋体" w:cs="宋体"/>
                      <w:kern w:val="0"/>
                      <w:sz w:val="21"/>
                      <w:szCs w:val="21"/>
                      <w:highlight w:val="none"/>
                      <w:lang w:val="en-US" w:eastAsia="zh-CN"/>
                    </w:rPr>
                    <w:t>SS</w:t>
                  </w: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9.23</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16</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17</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18</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21</w:t>
                  </w:r>
                </w:p>
              </w:tc>
              <w:tc>
                <w:tcPr>
                  <w:tcW w:w="733" w:type="pct"/>
                  <w:vMerge w:val="restart"/>
                  <w:tcBorders>
                    <w:tl2br w:val="nil"/>
                    <w:tr2bl w:val="nil"/>
                  </w:tcBorders>
                  <w:vAlign w:val="center"/>
                </w:tcPr>
                <w:p>
                  <w:pPr>
                    <w:keepNext w:val="0"/>
                    <w:keepLines w:val="0"/>
                    <w:pageBreakBefore w:val="0"/>
                    <w:kinsoku/>
                    <w:wordWrap/>
                    <w:overflowPunct/>
                    <w:topLinePunct w:val="0"/>
                    <w:bidi w:val="0"/>
                    <w:adjustRightInd/>
                    <w:snapToGrid/>
                    <w:spacing w:line="240" w:lineRule="auto"/>
                    <w:contextualSpacing/>
                    <w:jc w:val="center"/>
                    <w:textAlignment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28</w:t>
                  </w:r>
                </w:p>
              </w:tc>
              <w:tc>
                <w:tcPr>
                  <w:tcW w:w="925" w:type="pct"/>
                  <w:vMerge w:val="restart"/>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8" w:hRule="atLeast"/>
                <w:jc w:val="center"/>
              </w:trPr>
              <w:tc>
                <w:tcPr>
                  <w:tcW w:w="458"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351"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sz w:val="21"/>
                      <w:szCs w:val="21"/>
                      <w:lang w:eastAsia="zh-CN"/>
                    </w:rPr>
                  </w:pPr>
                </w:p>
              </w:tc>
              <w:tc>
                <w:tcPr>
                  <w:tcW w:w="422"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contextualSpacing/>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9.24</w:t>
                  </w:r>
                </w:p>
              </w:tc>
              <w:tc>
                <w:tcPr>
                  <w:tcW w:w="488"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26</w:t>
                  </w:r>
                </w:p>
              </w:tc>
              <w:tc>
                <w:tcPr>
                  <w:tcW w:w="47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28</w:t>
                  </w:r>
                </w:p>
              </w:tc>
              <w:tc>
                <w:tcPr>
                  <w:tcW w:w="485"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26</w:t>
                  </w:r>
                </w:p>
              </w:tc>
              <w:tc>
                <w:tcPr>
                  <w:tcW w:w="660"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spacing w:line="240" w:lineRule="auto"/>
                    <w:jc w:val="center"/>
                    <w:rPr>
                      <w:rFonts w:hint="eastAsia" w:ascii="宋体" w:hAnsi="宋体" w:eastAsia="宋体" w:cs="宋体"/>
                      <w:color w:val="000000"/>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24</w:t>
                  </w:r>
                </w:p>
              </w:tc>
              <w:tc>
                <w:tcPr>
                  <w:tcW w:w="733"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textAlignment w:val="center"/>
                    <w:rPr>
                      <w:rFonts w:hint="eastAsia" w:ascii="宋体" w:hAnsi="宋体" w:eastAsia="宋体" w:cs="宋体"/>
                      <w:b w:val="0"/>
                      <w:bCs w:val="0"/>
                      <w:sz w:val="21"/>
                      <w:szCs w:val="21"/>
                      <w:lang w:eastAsia="zh-CN"/>
                    </w:rPr>
                  </w:pPr>
                </w:p>
              </w:tc>
              <w:tc>
                <w:tcPr>
                  <w:tcW w:w="925" w:type="pct"/>
                  <w:vMerge w:val="continue"/>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jc w:val="center"/>
                    <w:rPr>
                      <w:rFonts w:hint="eastAsia" w:ascii="宋体" w:hAnsi="宋体" w:eastAsia="宋体" w:cs="宋体"/>
                      <w:b w:val="0"/>
                      <w:bCs w:val="0"/>
                      <w:sz w:val="21"/>
                      <w:szCs w:val="21"/>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9"/>
                  <w:tcBorders>
                    <w:tl2br w:val="nil"/>
                    <w:tr2bl w:val="nil"/>
                  </w:tcBorders>
                  <w:vAlign w:val="center"/>
                </w:tcPr>
                <w:p>
                  <w:pPr>
                    <w:keepNext w:val="0"/>
                    <w:keepLines w:val="0"/>
                    <w:pageBreakBefore w:val="0"/>
                    <w:widowControl/>
                    <w:kinsoku/>
                    <w:wordWrap/>
                    <w:overflowPunct/>
                    <w:topLinePunct w:val="0"/>
                    <w:bidi w:val="0"/>
                    <w:adjustRightInd/>
                    <w:snapToGrid/>
                    <w:spacing w:line="240" w:lineRule="auto"/>
                    <w:contextualSpacing/>
                    <w:textAlignment w:val="center"/>
                    <w:rPr>
                      <w:rFonts w:hint="eastAsia" w:ascii="宋体" w:hAnsi="宋体" w:eastAsia="宋体" w:cs="宋体"/>
                      <w:sz w:val="21"/>
                      <w:szCs w:val="21"/>
                      <w:lang w:eastAsia="zh-CN"/>
                    </w:rPr>
                  </w:pPr>
                  <w:r>
                    <w:rPr>
                      <w:rFonts w:hint="eastAsia" w:ascii="宋体" w:hAnsi="宋体" w:eastAsia="宋体" w:cs="宋体"/>
                      <w:color w:val="000000"/>
                      <w:kern w:val="0"/>
                      <w:sz w:val="21"/>
                      <w:szCs w:val="21"/>
                      <w:lang w:val="en-US" w:eastAsia="zh-CN" w:bidi="ar"/>
                    </w:rPr>
                    <w:t>备注：“ND”表示检测结果小于方法检出限,未检出：</w:t>
                  </w:r>
                </w:p>
              </w:tc>
            </w:tr>
          </w:tbl>
          <w:p>
            <w:pPr>
              <w:spacing w:line="360" w:lineRule="auto"/>
              <w:ind w:firstLine="482"/>
              <w:contextualSpacing/>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根据上表的监测数据表明，脱硫塔废水排口各监测因子监测结果为pH范围为</w:t>
            </w:r>
            <w:r>
              <w:rPr>
                <w:rFonts w:hint="eastAsia" w:ascii="宋体" w:hAnsi="宋体" w:eastAsia="宋体" w:cs="宋体"/>
                <w:b w:val="0"/>
                <w:bCs w:val="0"/>
                <w:kern w:val="2"/>
                <w:sz w:val="24"/>
                <w:szCs w:val="24"/>
                <w:lang w:val="en-US" w:eastAsia="zh-CN"/>
              </w:rPr>
              <w:t>6.95-7.52</w:t>
            </w:r>
            <w:r>
              <w:rPr>
                <w:rFonts w:hint="eastAsia" w:ascii="宋体" w:hAnsi="宋体" w:eastAsia="宋体" w:cs="宋体"/>
                <w:sz w:val="24"/>
                <w:szCs w:val="24"/>
                <w:lang w:eastAsia="zh-CN"/>
              </w:rPr>
              <w:t>、COD</w:t>
            </w:r>
            <w:r>
              <w:rPr>
                <w:rFonts w:hint="eastAsia" w:ascii="宋体" w:hAnsi="宋体" w:eastAsia="宋体" w:cs="宋体"/>
                <w:sz w:val="24"/>
                <w:szCs w:val="24"/>
                <w:lang w:val="en-US" w:eastAsia="zh-CN"/>
              </w:rPr>
              <w:t>s</w:t>
            </w:r>
            <w:r>
              <w:rPr>
                <w:rFonts w:hint="eastAsia" w:ascii="宋体" w:hAnsi="宋体" w:eastAsia="宋体" w:cs="宋体"/>
                <w:sz w:val="24"/>
                <w:szCs w:val="24"/>
                <w:lang w:eastAsia="zh-CN"/>
              </w:rPr>
              <w:t>最大监测浓度为</w:t>
            </w:r>
            <w:r>
              <w:rPr>
                <w:rFonts w:hint="eastAsia" w:ascii="宋体" w:hAnsi="宋体" w:eastAsia="宋体" w:cs="宋体"/>
                <w:b w:val="0"/>
                <w:bCs w:val="0"/>
                <w:color w:val="000000"/>
                <w:kern w:val="0"/>
                <w:sz w:val="24"/>
                <w:szCs w:val="24"/>
                <w:highlight w:val="none"/>
                <w:lang w:val="en-US" w:eastAsia="zh-CN"/>
              </w:rPr>
              <w:t>16</w:t>
            </w:r>
            <w:r>
              <w:rPr>
                <w:rFonts w:hint="eastAsia" w:ascii="宋体" w:hAnsi="宋体" w:eastAsia="宋体" w:cs="宋体"/>
                <w:sz w:val="24"/>
                <w:szCs w:val="24"/>
                <w:lang w:eastAsia="zh-CN"/>
              </w:rPr>
              <w:t>mg/L，挥发酚最大监测浓度为</w:t>
            </w:r>
            <w:r>
              <w:rPr>
                <w:rFonts w:hint="eastAsia" w:ascii="宋体" w:hAnsi="宋体" w:eastAsia="宋体" w:cs="宋体"/>
                <w:b w:val="0"/>
                <w:bCs w:val="0"/>
                <w:sz w:val="24"/>
                <w:szCs w:val="24"/>
                <w:lang w:val="en-US" w:eastAsia="zh-CN"/>
              </w:rPr>
              <w:t>0.007</w:t>
            </w:r>
            <w:r>
              <w:rPr>
                <w:rFonts w:hint="eastAsia" w:ascii="宋体" w:hAnsi="宋体" w:eastAsia="宋体" w:cs="宋体"/>
                <w:sz w:val="24"/>
                <w:szCs w:val="24"/>
                <w:lang w:eastAsia="zh-CN"/>
              </w:rPr>
              <w:t>mg/L，氨氮最大监测浓度为</w:t>
            </w:r>
            <w:r>
              <w:rPr>
                <w:rFonts w:hint="eastAsia" w:ascii="宋体" w:hAnsi="宋体" w:eastAsia="宋体" w:cs="宋体"/>
                <w:b w:val="0"/>
                <w:bCs w:val="0"/>
                <w:sz w:val="24"/>
                <w:szCs w:val="24"/>
                <w:lang w:val="en-US" w:eastAsia="zh-CN"/>
              </w:rPr>
              <w:t>2.22</w:t>
            </w:r>
            <w:r>
              <w:rPr>
                <w:rFonts w:hint="eastAsia" w:ascii="宋体" w:hAnsi="宋体" w:eastAsia="宋体" w:cs="宋体"/>
                <w:sz w:val="24"/>
                <w:szCs w:val="24"/>
                <w:lang w:eastAsia="zh-CN"/>
              </w:rPr>
              <w:t>mg/L，</w:t>
            </w:r>
            <w:r>
              <w:rPr>
                <w:rFonts w:hint="eastAsia" w:ascii="宋体" w:hAnsi="宋体" w:eastAsia="宋体" w:cs="宋体"/>
                <w:sz w:val="24"/>
                <w:szCs w:val="24"/>
                <w:lang w:val="en-US" w:eastAsia="zh-CN"/>
              </w:rPr>
              <w:t>SS</w:t>
            </w:r>
            <w:r>
              <w:rPr>
                <w:rFonts w:hint="eastAsia" w:ascii="宋体" w:hAnsi="宋体" w:eastAsia="宋体" w:cs="宋体"/>
                <w:sz w:val="24"/>
                <w:szCs w:val="24"/>
                <w:lang w:eastAsia="zh-CN"/>
              </w:rPr>
              <w:t>最大监测浓度为</w:t>
            </w:r>
            <w:r>
              <w:rPr>
                <w:rFonts w:hint="eastAsia" w:ascii="宋体" w:hAnsi="宋体" w:eastAsia="宋体" w:cs="宋体"/>
                <w:b w:val="0"/>
                <w:bCs w:val="0"/>
                <w:sz w:val="24"/>
                <w:szCs w:val="24"/>
                <w:lang w:val="en-US" w:eastAsia="zh-CN"/>
              </w:rPr>
              <w:t>28</w:t>
            </w:r>
            <w:r>
              <w:rPr>
                <w:rFonts w:hint="eastAsia" w:ascii="宋体" w:hAnsi="宋体" w:eastAsia="宋体" w:cs="宋体"/>
                <w:sz w:val="24"/>
                <w:szCs w:val="24"/>
                <w:lang w:eastAsia="zh-CN"/>
              </w:rPr>
              <w:t>mg/L，硫化物和石油类未检出，脱硫塔废水排口验收监测期间各监测因子浓度均满足厂区污水处理站废</w:t>
            </w:r>
            <w:r>
              <w:rPr>
                <w:rFonts w:hint="eastAsia" w:ascii="宋体" w:hAnsi="宋体" w:eastAsia="宋体" w:cs="宋体"/>
                <w:sz w:val="24"/>
                <w:szCs w:val="24"/>
                <w:lang w:val="en-US" w:eastAsia="zh-CN"/>
              </w:rPr>
              <w:t>水污染物接纳标准</w:t>
            </w:r>
            <w:r>
              <w:rPr>
                <w:rFonts w:hint="eastAsia" w:ascii="宋体" w:hAnsi="宋体" w:eastAsia="宋体" w:cs="宋体"/>
                <w:sz w:val="24"/>
                <w:szCs w:val="24"/>
                <w:lang w:eastAsia="zh-CN"/>
              </w:rPr>
              <w:t>要求。</w:t>
            </w:r>
          </w:p>
          <w:p>
            <w:pPr>
              <w:spacing w:line="360" w:lineRule="auto"/>
              <w:ind w:firstLine="482"/>
              <w:contextualSpacing/>
              <w:jc w:val="both"/>
              <w:rPr>
                <w:rFonts w:hint="default" w:ascii="Times New Roman" w:hAnsi="Times New Roman" w:eastAsia="宋体" w:cs="Times New Roman"/>
                <w:color w:val="auto"/>
                <w:spacing w:val="-4"/>
                <w:sz w:val="24"/>
                <w:szCs w:val="24"/>
                <w:lang w:val="en-US" w:eastAsia="zh-CN"/>
              </w:rPr>
            </w:pPr>
            <w:r>
              <w:rPr>
                <w:rFonts w:hint="default" w:ascii="Times New Roman" w:hAnsi="Times New Roman" w:eastAsia="宋体" w:cs="Times New Roman"/>
                <w:color w:val="auto"/>
                <w:spacing w:val="-4"/>
                <w:sz w:val="24"/>
                <w:szCs w:val="24"/>
                <w:lang w:val="en-US" w:eastAsia="zh-CN"/>
              </w:rPr>
              <w:t>本项目废水经过</w:t>
            </w:r>
            <w:r>
              <w:rPr>
                <w:rFonts w:hint="eastAsia" w:ascii="Times New Roman" w:hAnsi="Times New Roman" w:eastAsia="宋体" w:cs="Times New Roman"/>
                <w:color w:val="auto"/>
                <w:spacing w:val="-4"/>
                <w:sz w:val="24"/>
                <w:szCs w:val="24"/>
                <w:lang w:val="en-US" w:eastAsia="zh-CN"/>
              </w:rPr>
              <w:t>经过回收利用后</w:t>
            </w:r>
            <w:r>
              <w:rPr>
                <w:rFonts w:hint="default" w:ascii="Times New Roman" w:hAnsi="Times New Roman" w:eastAsia="宋体" w:cs="Times New Roman"/>
                <w:color w:val="auto"/>
                <w:spacing w:val="-4"/>
                <w:sz w:val="24"/>
                <w:szCs w:val="24"/>
                <w:lang w:val="en-US" w:eastAsia="zh-CN"/>
              </w:rPr>
              <w:t>排入厂区</w:t>
            </w:r>
            <w:r>
              <w:rPr>
                <w:rFonts w:hint="eastAsia" w:ascii="Times New Roman" w:hAnsi="Times New Roman" w:eastAsia="宋体" w:cs="Times New Roman"/>
                <w:color w:val="auto"/>
                <w:spacing w:val="-4"/>
                <w:sz w:val="24"/>
                <w:szCs w:val="24"/>
                <w:lang w:val="en-US" w:eastAsia="zh-CN"/>
              </w:rPr>
              <w:t>自建</w:t>
            </w:r>
            <w:r>
              <w:rPr>
                <w:rFonts w:hint="default" w:ascii="Times New Roman" w:hAnsi="Times New Roman" w:eastAsia="宋体" w:cs="Times New Roman"/>
                <w:color w:val="auto"/>
                <w:spacing w:val="-4"/>
                <w:sz w:val="24"/>
                <w:szCs w:val="24"/>
                <w:lang w:val="en-US" w:eastAsia="zh-CN"/>
              </w:rPr>
              <w:t>污水处理站进行处理最终排入长江，厂区</w:t>
            </w:r>
            <w:r>
              <w:rPr>
                <w:rFonts w:hint="eastAsia" w:ascii="Times New Roman" w:hAnsi="Times New Roman" w:eastAsia="宋体" w:cs="Times New Roman"/>
                <w:color w:val="auto"/>
                <w:spacing w:val="-4"/>
                <w:sz w:val="24"/>
                <w:szCs w:val="24"/>
                <w:lang w:val="en-US" w:eastAsia="zh-CN"/>
              </w:rPr>
              <w:t>自建</w:t>
            </w:r>
            <w:r>
              <w:rPr>
                <w:rFonts w:hint="default" w:ascii="Times New Roman" w:hAnsi="Times New Roman" w:eastAsia="宋体" w:cs="Times New Roman"/>
                <w:color w:val="auto"/>
                <w:spacing w:val="-4"/>
                <w:sz w:val="24"/>
                <w:szCs w:val="24"/>
                <w:lang w:val="en-US" w:eastAsia="zh-CN"/>
              </w:rPr>
              <w:t>污水处理站总排口设置有在线监控设备</w:t>
            </w:r>
            <w:r>
              <w:rPr>
                <w:rFonts w:hint="eastAsia" w:ascii="Times New Roman" w:hAnsi="Times New Roman" w:eastAsia="宋体" w:cs="Times New Roman"/>
                <w:color w:val="auto"/>
                <w:spacing w:val="-4"/>
                <w:sz w:val="24"/>
                <w:szCs w:val="24"/>
                <w:lang w:val="en-US" w:eastAsia="zh-CN"/>
              </w:rPr>
              <w:t>，</w:t>
            </w:r>
            <w:r>
              <w:rPr>
                <w:rFonts w:hint="default" w:ascii="Times New Roman" w:hAnsi="Times New Roman" w:eastAsia="宋体" w:cs="Times New Roman"/>
                <w:color w:val="auto"/>
                <w:spacing w:val="-4"/>
                <w:sz w:val="24"/>
                <w:szCs w:val="24"/>
                <w:lang w:val="en-US" w:eastAsia="zh-CN"/>
              </w:rPr>
              <w:t>且每季度进行自动监测设备比对检测确保尾水正常达标排放。废水总排口自动监测数据及自动监测设备比对检测结果详情如下所示：</w:t>
            </w:r>
          </w:p>
          <w:p>
            <w:pPr>
              <w:pStyle w:val="2"/>
              <w:jc w:val="both"/>
              <w:rPr>
                <w:rFonts w:hint="eastAsia"/>
                <w:lang w:eastAsia="zh-CN"/>
              </w:rPr>
            </w:pPr>
            <w:r>
              <w:rPr>
                <w:rFonts w:hint="eastAsia"/>
                <w:lang w:eastAsia="zh-CN"/>
              </w:rPr>
              <w:drawing>
                <wp:inline distT="0" distB="0" distL="114300" distR="114300">
                  <wp:extent cx="5490845" cy="5288915"/>
                  <wp:effectExtent l="0" t="0" r="14605" b="6985"/>
                  <wp:docPr id="8" name="图片 8" descr="16122373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12237393(1)"/>
                          <pic:cNvPicPr>
                            <a:picLocks noChangeAspect="1"/>
                          </pic:cNvPicPr>
                        </pic:nvPicPr>
                        <pic:blipFill>
                          <a:blip r:embed="rId20"/>
                          <a:stretch>
                            <a:fillRect/>
                          </a:stretch>
                        </pic:blipFill>
                        <pic:spPr>
                          <a:xfrm>
                            <a:off x="0" y="0"/>
                            <a:ext cx="5490845" cy="5288915"/>
                          </a:xfrm>
                          <a:prstGeom prst="rect">
                            <a:avLst/>
                          </a:prstGeom>
                        </pic:spPr>
                      </pic:pic>
                    </a:graphicData>
                  </a:graphic>
                </wp:inline>
              </w:drawing>
            </w:r>
          </w:p>
          <w:p>
            <w:pPr>
              <w:pStyle w:val="2"/>
              <w:spacing w:before="8" w:line="220" w:lineRule="auto"/>
              <w:ind w:right="157"/>
              <w:jc w:val="center"/>
              <w:rPr>
                <w:rFonts w:hint="eastAsia" w:ascii="宋体" w:hAnsi="宋体" w:eastAsia="宋体" w:cs="宋体"/>
                <w:b/>
                <w:bCs/>
                <w:color w:val="auto"/>
                <w:spacing w:val="-3"/>
                <w:sz w:val="21"/>
                <w:szCs w:val="21"/>
                <w:lang w:val="en-US" w:eastAsia="zh-CN"/>
              </w:rPr>
            </w:pPr>
            <w:r>
              <w:rPr>
                <w:rFonts w:hint="eastAsia" w:ascii="宋体" w:hAnsi="宋体" w:eastAsia="宋体" w:cs="宋体"/>
                <w:b/>
                <w:bCs/>
                <w:color w:val="auto"/>
                <w:spacing w:val="-3"/>
                <w:sz w:val="21"/>
                <w:szCs w:val="21"/>
                <w:lang w:val="en-US" w:eastAsia="zh-CN"/>
              </w:rPr>
              <w:t>图3  在线监控数据</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0"/>
              <w:gridCol w:w="4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0" w:type="dxa"/>
                </w:tcPr>
                <w:p>
                  <w:pPr>
                    <w:pStyle w:val="2"/>
                    <w:numPr>
                      <w:ilvl w:val="0"/>
                      <w:numId w:val="0"/>
                    </w:numPr>
                    <w:spacing w:line="360" w:lineRule="auto"/>
                    <w:jc w:val="both"/>
                    <w:rPr>
                      <w:rFonts w:hint="default" w:ascii="Times New Roman" w:hAnsi="Times New Roman" w:eastAsia="宋体" w:cs="Times New Roman"/>
                      <w:color w:val="auto"/>
                      <w:spacing w:val="-4"/>
                      <w:sz w:val="24"/>
                      <w:szCs w:val="24"/>
                      <w:vertAlign w:val="baseline"/>
                      <w:lang w:val="en-US" w:eastAsia="zh-CN"/>
                    </w:rPr>
                  </w:pPr>
                  <w:r>
                    <w:rPr>
                      <w:rFonts w:hint="default" w:ascii="Times New Roman" w:hAnsi="Times New Roman" w:eastAsia="宋体" w:cs="Times New Roman"/>
                      <w:color w:val="auto"/>
                      <w:spacing w:val="-4"/>
                      <w:sz w:val="24"/>
                      <w:szCs w:val="24"/>
                      <w:vertAlign w:val="baseline"/>
                      <w:lang w:val="en-US" w:eastAsia="zh-CN"/>
                    </w:rPr>
                    <w:drawing>
                      <wp:inline distT="0" distB="0" distL="114300" distR="114300">
                        <wp:extent cx="2602865" cy="3470275"/>
                        <wp:effectExtent l="0" t="0" r="6985" b="15875"/>
                        <wp:docPr id="9" name="图片 9" descr="55e28d3c982e3ad9966254ed6e585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55e28d3c982e3ad9966254ed6e5856f"/>
                                <pic:cNvPicPr>
                                  <a:picLocks noChangeAspect="1"/>
                                </pic:cNvPicPr>
                              </pic:nvPicPr>
                              <pic:blipFill>
                                <a:blip r:embed="rId21"/>
                                <a:stretch>
                                  <a:fillRect/>
                                </a:stretch>
                              </pic:blipFill>
                              <pic:spPr>
                                <a:xfrm>
                                  <a:off x="0" y="0"/>
                                  <a:ext cx="2602865" cy="3470275"/>
                                </a:xfrm>
                                <a:prstGeom prst="rect">
                                  <a:avLst/>
                                </a:prstGeom>
                              </pic:spPr>
                            </pic:pic>
                          </a:graphicData>
                        </a:graphic>
                      </wp:inline>
                    </w:drawing>
                  </w:r>
                </w:p>
              </w:tc>
              <w:tc>
                <w:tcPr>
                  <w:tcW w:w="4330" w:type="dxa"/>
                </w:tcPr>
                <w:p>
                  <w:pPr>
                    <w:pStyle w:val="2"/>
                    <w:numPr>
                      <w:ilvl w:val="0"/>
                      <w:numId w:val="0"/>
                    </w:numPr>
                    <w:spacing w:line="360" w:lineRule="auto"/>
                    <w:jc w:val="both"/>
                    <w:rPr>
                      <w:rFonts w:hint="default" w:ascii="Times New Roman" w:hAnsi="Times New Roman" w:eastAsia="宋体" w:cs="Times New Roman"/>
                      <w:color w:val="auto"/>
                      <w:spacing w:val="-4"/>
                      <w:sz w:val="24"/>
                      <w:szCs w:val="24"/>
                      <w:vertAlign w:val="baseline"/>
                      <w:lang w:val="en-US" w:eastAsia="zh-CN"/>
                    </w:rPr>
                  </w:pPr>
                  <w:r>
                    <w:rPr>
                      <w:rFonts w:hint="default" w:ascii="Times New Roman" w:hAnsi="Times New Roman" w:eastAsia="宋体" w:cs="Times New Roman"/>
                      <w:color w:val="auto"/>
                      <w:spacing w:val="-4"/>
                      <w:sz w:val="24"/>
                      <w:szCs w:val="24"/>
                      <w:vertAlign w:val="baseline"/>
                      <w:lang w:val="en-US" w:eastAsia="zh-CN"/>
                    </w:rPr>
                    <w:drawing>
                      <wp:inline distT="0" distB="0" distL="114300" distR="114300">
                        <wp:extent cx="2602865" cy="3470275"/>
                        <wp:effectExtent l="0" t="0" r="6985" b="15875"/>
                        <wp:docPr id="11" name="图片 11" descr="fb416c7510505e3d9f024096b1a0e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b416c7510505e3d9f024096b1a0ed8"/>
                                <pic:cNvPicPr>
                                  <a:picLocks noChangeAspect="1"/>
                                </pic:cNvPicPr>
                              </pic:nvPicPr>
                              <pic:blipFill>
                                <a:blip r:embed="rId22"/>
                                <a:stretch>
                                  <a:fillRect/>
                                </a:stretch>
                              </pic:blipFill>
                              <pic:spPr>
                                <a:xfrm>
                                  <a:off x="0" y="0"/>
                                  <a:ext cx="2602865" cy="34702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0" w:type="dxa"/>
                </w:tcPr>
                <w:p>
                  <w:pPr>
                    <w:pStyle w:val="2"/>
                    <w:numPr>
                      <w:ilvl w:val="0"/>
                      <w:numId w:val="0"/>
                    </w:numPr>
                    <w:spacing w:line="360" w:lineRule="auto"/>
                    <w:jc w:val="both"/>
                    <w:rPr>
                      <w:rFonts w:hint="default" w:ascii="Times New Roman" w:hAnsi="Times New Roman" w:eastAsia="宋体" w:cs="Times New Roman"/>
                      <w:color w:val="auto"/>
                      <w:spacing w:val="-4"/>
                      <w:sz w:val="24"/>
                      <w:szCs w:val="24"/>
                      <w:vertAlign w:val="baseline"/>
                      <w:lang w:val="en-US" w:eastAsia="zh-CN"/>
                    </w:rPr>
                  </w:pPr>
                  <w:r>
                    <w:rPr>
                      <w:rFonts w:hint="default" w:ascii="Times New Roman" w:hAnsi="Times New Roman" w:eastAsia="宋体" w:cs="Times New Roman"/>
                      <w:color w:val="auto"/>
                      <w:spacing w:val="-4"/>
                      <w:sz w:val="24"/>
                      <w:szCs w:val="24"/>
                      <w:vertAlign w:val="baseline"/>
                      <w:lang w:val="en-US" w:eastAsia="zh-CN"/>
                    </w:rPr>
                    <w:drawing>
                      <wp:inline distT="0" distB="0" distL="114300" distR="114300">
                        <wp:extent cx="2602865" cy="3470275"/>
                        <wp:effectExtent l="0" t="0" r="6985" b="15875"/>
                        <wp:docPr id="12" name="图片 12" descr="419b2ed779cacb69a1f2d41757661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419b2ed779cacb69a1f2d41757661f6"/>
                                <pic:cNvPicPr>
                                  <a:picLocks noChangeAspect="1"/>
                                </pic:cNvPicPr>
                              </pic:nvPicPr>
                              <pic:blipFill>
                                <a:blip r:embed="rId23"/>
                                <a:stretch>
                                  <a:fillRect/>
                                </a:stretch>
                              </pic:blipFill>
                              <pic:spPr>
                                <a:xfrm>
                                  <a:off x="0" y="0"/>
                                  <a:ext cx="2602865" cy="3470275"/>
                                </a:xfrm>
                                <a:prstGeom prst="rect">
                                  <a:avLst/>
                                </a:prstGeom>
                              </pic:spPr>
                            </pic:pic>
                          </a:graphicData>
                        </a:graphic>
                      </wp:inline>
                    </w:drawing>
                  </w:r>
                </w:p>
              </w:tc>
              <w:tc>
                <w:tcPr>
                  <w:tcW w:w="4330" w:type="dxa"/>
                </w:tcPr>
                <w:p>
                  <w:pPr>
                    <w:pStyle w:val="2"/>
                    <w:numPr>
                      <w:ilvl w:val="0"/>
                      <w:numId w:val="0"/>
                    </w:numPr>
                    <w:spacing w:line="360" w:lineRule="auto"/>
                    <w:jc w:val="both"/>
                    <w:rPr>
                      <w:rFonts w:hint="default" w:ascii="Times New Roman" w:hAnsi="Times New Roman" w:eastAsia="宋体" w:cs="Times New Roman"/>
                      <w:color w:val="auto"/>
                      <w:spacing w:val="-4"/>
                      <w:sz w:val="24"/>
                      <w:szCs w:val="24"/>
                      <w:vertAlign w:val="baseline"/>
                      <w:lang w:val="en-US" w:eastAsia="zh-CN"/>
                    </w:rPr>
                  </w:pPr>
                  <w:r>
                    <w:rPr>
                      <w:rFonts w:hint="default" w:ascii="Times New Roman" w:hAnsi="Times New Roman" w:eastAsia="宋体" w:cs="Times New Roman"/>
                      <w:color w:val="auto"/>
                      <w:spacing w:val="-4"/>
                      <w:sz w:val="24"/>
                      <w:szCs w:val="24"/>
                      <w:vertAlign w:val="baseline"/>
                      <w:lang w:val="en-US" w:eastAsia="zh-CN"/>
                    </w:rPr>
                    <w:drawing>
                      <wp:inline distT="0" distB="0" distL="114300" distR="114300">
                        <wp:extent cx="2602865" cy="3470275"/>
                        <wp:effectExtent l="0" t="0" r="6985" b="15875"/>
                        <wp:docPr id="13" name="图片 13" descr="84ca5fdc8c4003e43b85a6c578fa6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84ca5fdc8c4003e43b85a6c578fa6cf"/>
                                <pic:cNvPicPr>
                                  <a:picLocks noChangeAspect="1"/>
                                </pic:cNvPicPr>
                              </pic:nvPicPr>
                              <pic:blipFill>
                                <a:blip r:embed="rId24"/>
                                <a:stretch>
                                  <a:fillRect/>
                                </a:stretch>
                              </pic:blipFill>
                              <pic:spPr>
                                <a:xfrm>
                                  <a:off x="0" y="0"/>
                                  <a:ext cx="2602865" cy="34702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0" w:type="dxa"/>
                </w:tcPr>
                <w:p>
                  <w:pPr>
                    <w:pStyle w:val="2"/>
                    <w:numPr>
                      <w:ilvl w:val="0"/>
                      <w:numId w:val="0"/>
                    </w:numPr>
                    <w:spacing w:line="360" w:lineRule="auto"/>
                    <w:jc w:val="both"/>
                    <w:rPr>
                      <w:rFonts w:hint="default" w:ascii="Times New Roman" w:hAnsi="Times New Roman" w:eastAsia="宋体" w:cs="Times New Roman"/>
                      <w:color w:val="auto"/>
                      <w:spacing w:val="-4"/>
                      <w:sz w:val="24"/>
                      <w:szCs w:val="24"/>
                      <w:vertAlign w:val="baseline"/>
                      <w:lang w:val="en-US" w:eastAsia="zh-CN"/>
                    </w:rPr>
                  </w:pPr>
                  <w:r>
                    <w:rPr>
                      <w:rFonts w:hint="default" w:ascii="Times New Roman" w:hAnsi="Times New Roman" w:eastAsia="宋体" w:cs="Times New Roman"/>
                      <w:color w:val="auto"/>
                      <w:spacing w:val="-4"/>
                      <w:sz w:val="24"/>
                      <w:szCs w:val="24"/>
                      <w:vertAlign w:val="baseline"/>
                      <w:lang w:val="en-US" w:eastAsia="zh-CN"/>
                    </w:rPr>
                    <w:drawing>
                      <wp:inline distT="0" distB="0" distL="114300" distR="114300">
                        <wp:extent cx="2602865" cy="3470275"/>
                        <wp:effectExtent l="0" t="0" r="6985" b="15875"/>
                        <wp:docPr id="15" name="图片 15" descr="b6c9d9fd467cbd9472cb7273111c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b6c9d9fd467cbd9472cb7273111c752"/>
                                <pic:cNvPicPr>
                                  <a:picLocks noChangeAspect="1"/>
                                </pic:cNvPicPr>
                              </pic:nvPicPr>
                              <pic:blipFill>
                                <a:blip r:embed="rId25"/>
                                <a:stretch>
                                  <a:fillRect/>
                                </a:stretch>
                              </pic:blipFill>
                              <pic:spPr>
                                <a:xfrm>
                                  <a:off x="0" y="0"/>
                                  <a:ext cx="2602865" cy="3470275"/>
                                </a:xfrm>
                                <a:prstGeom prst="rect">
                                  <a:avLst/>
                                </a:prstGeom>
                              </pic:spPr>
                            </pic:pic>
                          </a:graphicData>
                        </a:graphic>
                      </wp:inline>
                    </w:drawing>
                  </w:r>
                </w:p>
              </w:tc>
              <w:tc>
                <w:tcPr>
                  <w:tcW w:w="4330" w:type="dxa"/>
                </w:tcPr>
                <w:p>
                  <w:pPr>
                    <w:pStyle w:val="2"/>
                    <w:numPr>
                      <w:ilvl w:val="0"/>
                      <w:numId w:val="0"/>
                    </w:numPr>
                    <w:spacing w:line="360" w:lineRule="auto"/>
                    <w:jc w:val="both"/>
                    <w:rPr>
                      <w:rFonts w:hint="default" w:ascii="Times New Roman" w:hAnsi="Times New Roman" w:eastAsia="宋体" w:cs="Times New Roman"/>
                      <w:color w:val="auto"/>
                      <w:spacing w:val="-4"/>
                      <w:sz w:val="24"/>
                      <w:szCs w:val="24"/>
                      <w:vertAlign w:val="baseline"/>
                      <w:lang w:val="en-US" w:eastAsia="zh-CN"/>
                    </w:rPr>
                  </w:pPr>
                  <w:r>
                    <w:rPr>
                      <w:rFonts w:hint="default" w:ascii="Times New Roman" w:hAnsi="Times New Roman" w:eastAsia="宋体" w:cs="Times New Roman"/>
                      <w:color w:val="auto"/>
                      <w:spacing w:val="-4"/>
                      <w:sz w:val="24"/>
                      <w:szCs w:val="24"/>
                      <w:vertAlign w:val="baseline"/>
                      <w:lang w:val="en-US" w:eastAsia="zh-CN"/>
                    </w:rPr>
                    <w:drawing>
                      <wp:inline distT="0" distB="0" distL="114300" distR="114300">
                        <wp:extent cx="2602865" cy="3470275"/>
                        <wp:effectExtent l="0" t="0" r="6985" b="15875"/>
                        <wp:docPr id="16" name="图片 16" descr="e22cb5266b1109cd038c2f3eeca9e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e22cb5266b1109cd038c2f3eeca9eb0"/>
                                <pic:cNvPicPr>
                                  <a:picLocks noChangeAspect="1"/>
                                </pic:cNvPicPr>
                              </pic:nvPicPr>
                              <pic:blipFill>
                                <a:blip r:embed="rId26"/>
                                <a:stretch>
                                  <a:fillRect/>
                                </a:stretch>
                              </pic:blipFill>
                              <pic:spPr>
                                <a:xfrm>
                                  <a:off x="0" y="0"/>
                                  <a:ext cx="2602865" cy="34702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0" w:type="dxa"/>
                  <w:gridSpan w:val="2"/>
                </w:tcPr>
                <w:p>
                  <w:pPr>
                    <w:pStyle w:val="2"/>
                    <w:numPr>
                      <w:ilvl w:val="0"/>
                      <w:numId w:val="0"/>
                    </w:numPr>
                    <w:spacing w:line="360" w:lineRule="auto"/>
                    <w:jc w:val="center"/>
                    <w:rPr>
                      <w:rFonts w:hint="default" w:ascii="Times New Roman" w:hAnsi="Times New Roman" w:eastAsia="宋体" w:cs="Times New Roman"/>
                      <w:color w:val="auto"/>
                      <w:spacing w:val="-4"/>
                      <w:sz w:val="24"/>
                      <w:szCs w:val="24"/>
                      <w:vertAlign w:val="baseline"/>
                      <w:lang w:val="en-US" w:eastAsia="zh-CN"/>
                    </w:rPr>
                  </w:pPr>
                  <w:r>
                    <w:rPr>
                      <w:rFonts w:hint="default" w:ascii="Times New Roman" w:hAnsi="Times New Roman" w:eastAsia="宋体" w:cs="Times New Roman"/>
                      <w:b/>
                      <w:bCs/>
                      <w:color w:val="auto"/>
                      <w:spacing w:val="-4"/>
                      <w:sz w:val="21"/>
                      <w:szCs w:val="21"/>
                      <w:lang w:val="en-US" w:eastAsia="zh-CN"/>
                    </w:rPr>
                    <w:t>自动监测设备比对检测结果</w:t>
                  </w:r>
                </w:p>
              </w:tc>
            </w:tr>
          </w:tbl>
          <w:p>
            <w:pPr>
              <w:pStyle w:val="2"/>
              <w:numPr>
                <w:ilvl w:val="0"/>
                <w:numId w:val="0"/>
              </w:numPr>
              <w:spacing w:line="360" w:lineRule="auto"/>
              <w:ind w:firstLine="696" w:firstLineChars="300"/>
              <w:jc w:val="both"/>
              <w:rPr>
                <w:rFonts w:hint="default" w:ascii="Times New Roman" w:hAnsi="Times New Roman" w:eastAsia="宋体" w:cs="Times New Roman"/>
                <w:color w:val="auto"/>
                <w:spacing w:val="-4"/>
                <w:sz w:val="24"/>
                <w:szCs w:val="24"/>
                <w:lang w:val="en-US" w:eastAsia="zh-CN"/>
              </w:rPr>
            </w:pPr>
            <w:r>
              <w:rPr>
                <w:rFonts w:hint="default" w:ascii="Times New Roman" w:hAnsi="Times New Roman" w:eastAsia="宋体" w:cs="Times New Roman"/>
                <w:color w:val="auto"/>
                <w:spacing w:val="-4"/>
                <w:sz w:val="24"/>
                <w:szCs w:val="24"/>
                <w:lang w:val="en-US" w:eastAsia="zh-CN"/>
              </w:rPr>
              <w:t>根据在线监测结果以及对比报告可知，</w:t>
            </w:r>
            <w:r>
              <w:rPr>
                <w:rFonts w:hint="eastAsia" w:ascii="Times New Roman" w:hAnsi="Times New Roman" w:eastAsia="宋体" w:cs="Times New Roman"/>
                <w:color w:val="auto"/>
                <w:spacing w:val="-4"/>
                <w:sz w:val="24"/>
                <w:szCs w:val="24"/>
                <w:lang w:val="en-US" w:eastAsia="zh-CN"/>
              </w:rPr>
              <w:t>验收期间，</w:t>
            </w:r>
            <w:r>
              <w:rPr>
                <w:rFonts w:hint="default" w:ascii="Times New Roman" w:hAnsi="Times New Roman" w:eastAsia="宋体" w:cs="Times New Roman"/>
                <w:color w:val="auto"/>
                <w:spacing w:val="-4"/>
                <w:sz w:val="24"/>
                <w:szCs w:val="24"/>
                <w:lang w:val="en-US" w:eastAsia="zh-CN"/>
              </w:rPr>
              <w:t>厂区</w:t>
            </w:r>
            <w:r>
              <w:rPr>
                <w:rFonts w:hint="eastAsia" w:ascii="Times New Roman" w:hAnsi="Times New Roman" w:eastAsia="宋体" w:cs="Times New Roman"/>
                <w:color w:val="auto"/>
                <w:spacing w:val="-4"/>
                <w:sz w:val="24"/>
                <w:szCs w:val="24"/>
                <w:lang w:val="en-US" w:eastAsia="zh-CN"/>
              </w:rPr>
              <w:t>自建污水处理站废水中</w:t>
            </w:r>
            <w:r>
              <w:rPr>
                <w:rFonts w:hint="default" w:ascii="Times New Roman" w:hAnsi="Times New Roman" w:eastAsia="宋体" w:cs="Times New Roman"/>
                <w:color w:val="auto"/>
                <w:spacing w:val="-4"/>
                <w:sz w:val="24"/>
                <w:szCs w:val="24"/>
                <w:lang w:val="en-US" w:eastAsia="zh-CN"/>
              </w:rPr>
              <w:t>各监测因子浓度均符合《石油化学工业污染物排放标准》(GB 31571-2015)</w:t>
            </w:r>
            <w:r>
              <w:rPr>
                <w:rFonts w:hint="eastAsia" w:ascii="Times New Roman" w:hAnsi="Times New Roman" w:eastAsia="宋体" w:cs="Times New Roman"/>
                <w:color w:val="auto"/>
                <w:spacing w:val="-4"/>
                <w:sz w:val="24"/>
                <w:szCs w:val="24"/>
                <w:lang w:val="en-US" w:eastAsia="zh-CN"/>
              </w:rPr>
              <w:t>中表2水污染物特别排放</w:t>
            </w:r>
            <w:r>
              <w:rPr>
                <w:rFonts w:hint="default" w:ascii="Times New Roman" w:hAnsi="Times New Roman" w:eastAsia="宋体" w:cs="Times New Roman"/>
                <w:color w:val="auto"/>
                <w:spacing w:val="-4"/>
                <w:sz w:val="24"/>
                <w:szCs w:val="24"/>
                <w:lang w:val="en-US" w:eastAsia="zh-CN"/>
              </w:rPr>
              <w:t>标准限值。</w:t>
            </w:r>
          </w:p>
          <w:p>
            <w:pPr>
              <w:pStyle w:val="2"/>
              <w:numPr>
                <w:ilvl w:val="0"/>
                <w:numId w:val="4"/>
              </w:numPr>
              <w:spacing w:line="360" w:lineRule="auto"/>
              <w:ind w:firstLine="480" w:firstLineChars="200"/>
              <w:jc w:val="both"/>
              <w:rPr>
                <w:rFonts w:ascii="Times New Roman" w:hAnsi="Times New Roman" w:eastAsia="宋体" w:cs="Times New Roman"/>
              </w:rPr>
            </w:pPr>
            <w:r>
              <w:rPr>
                <w:rFonts w:ascii="Times New Roman" w:hAnsi="Times New Roman" w:eastAsia="宋体" w:cs="Times New Roman"/>
                <w:lang w:eastAsia="zh-CN"/>
              </w:rPr>
              <w:t>废气监测结果及评价</w:t>
            </w:r>
          </w:p>
          <w:p>
            <w:pPr>
              <w:spacing w:line="360" w:lineRule="auto"/>
              <w:ind w:firstLine="464" w:firstLineChars="200"/>
              <w:jc w:val="both"/>
              <w:rPr>
                <w:rFonts w:hint="default" w:ascii="Times New Roman" w:hAnsi="Times New Roman" w:eastAsia="宋体" w:cs="Times New Roman"/>
                <w:b w:val="0"/>
                <w:bCs w:val="0"/>
                <w:color w:val="auto"/>
                <w:spacing w:val="-4"/>
                <w:sz w:val="24"/>
                <w:szCs w:val="24"/>
                <w:lang w:val="en-US" w:eastAsia="zh-CN"/>
              </w:rPr>
            </w:pPr>
            <w:bookmarkStart w:id="2" w:name="_Toc11003"/>
            <w:bookmarkStart w:id="3" w:name="_Toc4312_WPSOffice_Level2"/>
            <w:r>
              <w:rPr>
                <w:rFonts w:hint="default" w:ascii="Times New Roman" w:hAnsi="Times New Roman" w:eastAsia="宋体" w:cs="Times New Roman"/>
                <w:b w:val="0"/>
                <w:bCs w:val="0"/>
                <w:color w:val="auto"/>
                <w:spacing w:val="-4"/>
                <w:sz w:val="24"/>
                <w:szCs w:val="24"/>
                <w:lang w:val="en-US" w:eastAsia="zh-CN"/>
              </w:rPr>
              <w:t>（1）有组织排放</w:t>
            </w:r>
            <w:bookmarkEnd w:id="2"/>
            <w:bookmarkEnd w:id="3"/>
          </w:p>
          <w:p>
            <w:pPr>
              <w:spacing w:line="360" w:lineRule="auto"/>
              <w:ind w:firstLine="480" w:firstLineChars="200"/>
              <w:jc w:val="both"/>
              <w:rPr>
                <w:rFonts w:hint="eastAsia" w:ascii="Times New Roman" w:hAnsi="Times New Roman" w:cs="Times New Roman"/>
                <w:bCs/>
                <w:color w:val="auto"/>
                <w:sz w:val="24"/>
                <w:szCs w:val="24"/>
                <w:lang w:eastAsia="zh-CN"/>
              </w:rPr>
            </w:pPr>
            <w:r>
              <w:rPr>
                <w:rFonts w:hint="eastAsia" w:ascii="Times New Roman" w:hAnsi="Times New Roman" w:cs="Times New Roman"/>
                <w:bCs/>
                <w:color w:val="auto"/>
                <w:sz w:val="24"/>
                <w:szCs w:val="24"/>
                <w:lang w:val="en-US" w:eastAsia="zh-CN"/>
              </w:rPr>
              <w:t>本项目为无组织废气收集处理并转化为有组织气体排放的环保工程，经集气管收集用热氧化炉燃烧处理，以及脱硫装置处理后，尾气由30m高排气筒排放。</w:t>
            </w:r>
            <w:r>
              <w:rPr>
                <w:rFonts w:hint="default" w:ascii="Times New Roman" w:hAnsi="Times New Roman" w:cs="Times New Roman"/>
                <w:bCs/>
                <w:color w:val="auto"/>
                <w:sz w:val="24"/>
                <w:szCs w:val="24"/>
                <w:lang w:eastAsia="zh-CN"/>
              </w:rPr>
              <w:t>项目废气排放执行</w:t>
            </w:r>
            <w:r>
              <w:rPr>
                <w:rFonts w:hint="eastAsia" w:ascii="Times New Roman" w:hAnsi="Times New Roman" w:cs="Times New Roman"/>
                <w:bCs/>
                <w:color w:val="auto"/>
                <w:sz w:val="24"/>
                <w:szCs w:val="24"/>
                <w:lang w:eastAsia="zh-CN"/>
              </w:rPr>
              <w:t>《石油化学工业污染物排放标准》(GB 31571-2015)中大气污染物排放限值标准。</w:t>
            </w:r>
          </w:p>
          <w:p>
            <w:pPr>
              <w:ind w:firstLine="480" w:firstLineChars="200"/>
              <w:jc w:val="both"/>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各排气筒</w:t>
            </w:r>
            <w:r>
              <w:rPr>
                <w:rFonts w:hint="eastAsia" w:ascii="Times New Roman" w:hAnsi="Times New Roman" w:cs="Times New Roman"/>
                <w:bCs/>
                <w:color w:val="auto"/>
                <w:sz w:val="24"/>
                <w:szCs w:val="24"/>
                <w:lang w:val="en-US" w:eastAsia="zh-CN"/>
              </w:rPr>
              <w:t>实测</w:t>
            </w:r>
            <w:r>
              <w:rPr>
                <w:rFonts w:hint="default" w:ascii="Times New Roman" w:hAnsi="Times New Roman" w:cs="Times New Roman"/>
                <w:bCs/>
                <w:color w:val="auto"/>
                <w:sz w:val="24"/>
                <w:szCs w:val="24"/>
                <w:lang w:val="en-US" w:eastAsia="zh-CN"/>
              </w:rPr>
              <w:t>监测数据如下：</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表16  有组织废气监测结果一览表 （单位：mg/m</w:t>
            </w:r>
            <w:r>
              <w:rPr>
                <w:rFonts w:hint="eastAsia" w:ascii="宋体" w:hAnsi="宋体" w:eastAsia="宋体" w:cs="宋体"/>
                <w:b/>
                <w:bCs/>
                <w:sz w:val="21"/>
                <w:szCs w:val="21"/>
                <w:vertAlign w:val="superscript"/>
                <w:lang w:val="en-US" w:eastAsia="zh-CN"/>
              </w:rPr>
              <w:t>3</w:t>
            </w:r>
            <w:r>
              <w:rPr>
                <w:rFonts w:hint="eastAsia" w:ascii="宋体" w:hAnsi="宋体" w:eastAsia="宋体" w:cs="宋体"/>
                <w:b/>
                <w:bCs/>
                <w:sz w:val="21"/>
                <w:szCs w:val="21"/>
                <w:lang w:val="en-US" w:eastAsia="zh-CN"/>
              </w:rPr>
              <w:t>）</w:t>
            </w:r>
          </w:p>
          <w:tbl>
            <w:tblPr>
              <w:tblStyle w:val="1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1268"/>
              <w:gridCol w:w="1459"/>
              <w:gridCol w:w="775"/>
              <w:gridCol w:w="761"/>
              <w:gridCol w:w="1186"/>
              <w:gridCol w:w="1198"/>
              <w:gridCol w:w="116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493"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监测点位</w:t>
                  </w:r>
                </w:p>
              </w:tc>
              <w:tc>
                <w:tcPr>
                  <w:tcW w:w="731"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监测时间</w:t>
                  </w:r>
                </w:p>
              </w:tc>
              <w:tc>
                <w:tcPr>
                  <w:tcW w:w="841"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监测项目</w:t>
                  </w:r>
                </w:p>
              </w:tc>
              <w:tc>
                <w:tcPr>
                  <w:tcW w:w="447"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单位</w:t>
                  </w:r>
                </w:p>
              </w:tc>
              <w:tc>
                <w:tcPr>
                  <w:tcW w:w="439"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参考限值</w:t>
                  </w:r>
                </w:p>
              </w:tc>
              <w:tc>
                <w:tcPr>
                  <w:tcW w:w="2046" w:type="pct"/>
                  <w:gridSpan w:val="3"/>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493"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p>
              </w:tc>
              <w:tc>
                <w:tcPr>
                  <w:tcW w:w="731"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p>
              </w:tc>
              <w:tc>
                <w:tcPr>
                  <w:tcW w:w="841"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p>
              </w:tc>
              <w:tc>
                <w:tcPr>
                  <w:tcW w:w="447"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p>
              </w:tc>
              <w:tc>
                <w:tcPr>
                  <w:tcW w:w="439"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p>
              </w:tc>
              <w:tc>
                <w:tcPr>
                  <w:tcW w:w="684"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第1次</w:t>
                  </w:r>
                </w:p>
              </w:tc>
              <w:tc>
                <w:tcPr>
                  <w:tcW w:w="691"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第2次</w:t>
                  </w:r>
                </w:p>
              </w:tc>
              <w:tc>
                <w:tcPr>
                  <w:tcW w:w="670"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第3次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3"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rPr>
                    <w:t>VOCs热氧处理系统装置处理后尾气排气筒</w:t>
                  </w:r>
                  <w:r>
                    <w:rPr>
                      <w:rFonts w:hint="eastAsia" w:ascii="宋体" w:hAnsi="宋体" w:eastAsia="宋体" w:cs="宋体"/>
                      <w:color w:val="000000"/>
                      <w:kern w:val="0"/>
                      <w:sz w:val="21"/>
                      <w:szCs w:val="21"/>
                      <w:highlight w:val="none"/>
                      <w:lang w:val="en-US" w:eastAsia="zh-CN"/>
                    </w:rPr>
                    <w:t>（进口）</w:t>
                  </w:r>
                </w:p>
              </w:tc>
              <w:tc>
                <w:tcPr>
                  <w:tcW w:w="73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2020.09.23</w:t>
                  </w: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kern w:val="0"/>
                      <w:sz w:val="21"/>
                      <w:szCs w:val="21"/>
                      <w:highlight w:val="none"/>
                      <w:lang w:val="en-US" w:eastAsia="zh-CN"/>
                    </w:rPr>
                    <w:t>苯</w:t>
                  </w:r>
                </w:p>
              </w:tc>
              <w:tc>
                <w:tcPr>
                  <w:tcW w:w="44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mg/m</w:t>
                  </w:r>
                  <w:r>
                    <w:rPr>
                      <w:rFonts w:hint="eastAsia" w:ascii="宋体" w:hAnsi="宋体" w:eastAsia="宋体" w:cs="宋体"/>
                      <w:color w:val="auto"/>
                      <w:kern w:val="0"/>
                      <w:sz w:val="21"/>
                      <w:szCs w:val="21"/>
                      <w:highlight w:val="none"/>
                      <w:vertAlign w:val="superscript"/>
                    </w:rPr>
                    <w:t>3</w:t>
                  </w: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1.016</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1.027</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1.264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2.054</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2.106</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1.871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二甲苯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1.219</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1.110</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非甲烷总烃</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359</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398</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2020.09.24</w:t>
                  </w: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kern w:val="0"/>
                      <w:sz w:val="21"/>
                      <w:szCs w:val="21"/>
                      <w:highlight w:val="none"/>
                      <w:lang w:val="en-US" w:eastAsia="zh-CN"/>
                    </w:rPr>
                    <w:t>苯</w:t>
                  </w:r>
                </w:p>
              </w:tc>
              <w:tc>
                <w:tcPr>
                  <w:tcW w:w="44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mg/m</w:t>
                  </w:r>
                  <w:r>
                    <w:rPr>
                      <w:rFonts w:hint="eastAsia" w:ascii="宋体" w:hAnsi="宋体" w:eastAsia="宋体" w:cs="宋体"/>
                      <w:color w:val="auto"/>
                      <w:kern w:val="0"/>
                      <w:sz w:val="21"/>
                      <w:szCs w:val="21"/>
                      <w:highlight w:val="none"/>
                      <w:vertAlign w:val="superscript"/>
                    </w:rPr>
                    <w:t>3</w:t>
                  </w: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1.06</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1.00</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1.08</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0.89</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二甲苯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2.68</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2.14</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非甲烷总烃</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405</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466</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384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493"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Times New Roman" w:hAnsi="Times New Roman" w:eastAsia="宋体" w:cs="Times New Roman"/>
                      <w:color w:val="auto"/>
                      <w:kern w:val="2"/>
                      <w:sz w:val="21"/>
                      <w:szCs w:val="21"/>
                      <w:lang w:val="en-US" w:eastAsia="zh-CN"/>
                    </w:rPr>
                    <w:t>VOCs热氧处理系统装置处理后尾气排气筒2</w:t>
                  </w:r>
                  <w:r>
                    <w:rPr>
                      <w:rFonts w:hint="eastAsia" w:ascii="宋体" w:hAnsi="宋体" w:eastAsia="宋体" w:cs="宋体"/>
                      <w:color w:val="000000"/>
                      <w:kern w:val="0"/>
                      <w:sz w:val="21"/>
                      <w:szCs w:val="21"/>
                      <w:highlight w:val="none"/>
                      <w:lang w:val="en-US" w:eastAsia="zh-CN"/>
                    </w:rPr>
                    <w:t>（进口）</w:t>
                  </w:r>
                </w:p>
              </w:tc>
              <w:tc>
                <w:tcPr>
                  <w:tcW w:w="73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val="0"/>
                    <w:autoSpaceDN w:val="0"/>
                    <w:bidi w:val="0"/>
                    <w:adjustRightInd/>
                    <w:snapToGrid/>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2020.09.23</w:t>
                  </w: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kern w:val="0"/>
                      <w:sz w:val="21"/>
                      <w:szCs w:val="21"/>
                      <w:highlight w:val="none"/>
                      <w:lang w:val="en-US" w:eastAsia="zh-CN"/>
                    </w:rPr>
                    <w:t>苯</w:t>
                  </w:r>
                </w:p>
              </w:tc>
              <w:tc>
                <w:tcPr>
                  <w:tcW w:w="44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en-US" w:bidi="ar-SA"/>
                    </w:rPr>
                  </w:pPr>
                  <w:r>
                    <w:rPr>
                      <w:rFonts w:hint="eastAsia" w:ascii="宋体" w:hAnsi="宋体" w:eastAsia="宋体" w:cs="宋体"/>
                      <w:color w:val="auto"/>
                      <w:kern w:val="0"/>
                      <w:sz w:val="21"/>
                      <w:szCs w:val="21"/>
                      <w:highlight w:val="none"/>
                    </w:rPr>
                    <w:t>mg/m</w:t>
                  </w:r>
                  <w:r>
                    <w:rPr>
                      <w:rFonts w:hint="eastAsia" w:ascii="宋体" w:hAnsi="宋体" w:eastAsia="宋体" w:cs="宋体"/>
                      <w:color w:val="auto"/>
                      <w:kern w:val="0"/>
                      <w:sz w:val="21"/>
                      <w:szCs w:val="21"/>
                      <w:highlight w:val="none"/>
                      <w:vertAlign w:val="superscript"/>
                    </w:rPr>
                    <w:t>3</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1.006</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1.020</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1.245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2.035</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2.006</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1.786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二甲苯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1.208</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1.028</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非甲烷总烃</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346</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389</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lang w:val="en-US" w:eastAsia="zh-CN"/>
                    </w:rPr>
                    <w:t>2020.09.24</w:t>
                  </w: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kern w:val="0"/>
                      <w:sz w:val="21"/>
                      <w:szCs w:val="21"/>
                      <w:highlight w:val="none"/>
                      <w:lang w:val="en-US" w:eastAsia="zh-CN"/>
                    </w:rPr>
                    <w:t>苯</w:t>
                  </w:r>
                </w:p>
              </w:tc>
              <w:tc>
                <w:tcPr>
                  <w:tcW w:w="44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rPr>
                    <w:t>mg/m</w:t>
                  </w:r>
                  <w:r>
                    <w:rPr>
                      <w:rFonts w:hint="eastAsia" w:ascii="宋体" w:hAnsi="宋体" w:eastAsia="宋体" w:cs="宋体"/>
                      <w:color w:val="auto"/>
                      <w:kern w:val="0"/>
                      <w:sz w:val="21"/>
                      <w:szCs w:val="21"/>
                      <w:highlight w:val="none"/>
                      <w:vertAlign w:val="superscript"/>
                    </w:rPr>
                    <w:t>3</w:t>
                  </w: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1.016</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1.029</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1.208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2.115</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2.024</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1.753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二甲苯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1.108</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1.028</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1.112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highlight w:val="none"/>
                      <w:lang w:val="en-US" w:eastAsia="zh-CN"/>
                    </w:rPr>
                    <w:t>非甲烷总烃</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353</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376</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356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493"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lang w:bidi="ar"/>
                    </w:rPr>
                  </w:pPr>
                  <w:r>
                    <w:rPr>
                      <w:rFonts w:hint="eastAsia" w:ascii="Times New Roman" w:hAnsi="Times New Roman" w:eastAsia="宋体" w:cs="Times New Roman"/>
                      <w:color w:val="auto"/>
                      <w:kern w:val="2"/>
                      <w:sz w:val="21"/>
                      <w:szCs w:val="21"/>
                      <w:lang w:val="en-US" w:eastAsia="zh-CN"/>
                    </w:rPr>
                    <w:t>VOCs热氧处理系统装置处理后尾气排气筒</w:t>
                  </w:r>
                  <w:r>
                    <w:rPr>
                      <w:rFonts w:hint="eastAsia" w:ascii="宋体" w:hAnsi="宋体" w:eastAsia="宋体" w:cs="宋体"/>
                      <w:kern w:val="0"/>
                      <w:sz w:val="21"/>
                      <w:szCs w:val="21"/>
                      <w:highlight w:val="none"/>
                      <w:lang w:val="en-US" w:eastAsia="zh-CN"/>
                    </w:rPr>
                    <w:t>（出口）</w:t>
                  </w:r>
                </w:p>
              </w:tc>
              <w:tc>
                <w:tcPr>
                  <w:tcW w:w="73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r>
                    <w:rPr>
                      <w:rFonts w:hint="eastAsia" w:ascii="宋体" w:hAnsi="宋体" w:eastAsia="宋体" w:cs="宋体"/>
                      <w:color w:val="auto"/>
                      <w:sz w:val="21"/>
                      <w:szCs w:val="21"/>
                      <w:lang w:val="en-US" w:eastAsia="zh-CN"/>
                    </w:rPr>
                    <w:t>2020.09.23</w:t>
                  </w: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苯</w:t>
                  </w:r>
                </w:p>
              </w:tc>
              <w:tc>
                <w:tcPr>
                  <w:tcW w:w="44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r>
                    <w:rPr>
                      <w:rFonts w:hint="eastAsia" w:ascii="宋体" w:hAnsi="宋体" w:eastAsia="宋体" w:cs="宋体"/>
                      <w:color w:val="auto"/>
                      <w:kern w:val="0"/>
                      <w:sz w:val="21"/>
                      <w:szCs w:val="21"/>
                      <w:highlight w:val="none"/>
                    </w:rPr>
                    <w:t>mg/m</w:t>
                  </w:r>
                  <w:r>
                    <w:rPr>
                      <w:rFonts w:hint="eastAsia" w:ascii="宋体" w:hAnsi="宋体" w:eastAsia="宋体" w:cs="宋体"/>
                      <w:color w:val="auto"/>
                      <w:kern w:val="0"/>
                      <w:sz w:val="21"/>
                      <w:szCs w:val="21"/>
                      <w:highlight w:val="none"/>
                      <w:vertAlign w:val="superscript"/>
                    </w:rPr>
                    <w:t>3</w:t>
                  </w: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lang w:val="en-US" w:eastAsia="zh-CN"/>
                    </w:rPr>
                    <w:t>4</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0.420</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0.598</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0.060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15</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0.108</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0.079</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0.659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二甲苯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20</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0.168</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0.890</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0.630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非甲烷总烃</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120</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9.87</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9.59</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10.26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二氧化硫</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50</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0.007(L)</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0.007(L)</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氮氧化物</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100</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0.005(L)</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0.005(L)</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ind w:firstLine="210" w:firstLineChars="100"/>
                    <w:jc w:val="both"/>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 xml:space="preserve">颗粒物 </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20</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&lt;20</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&lt;20</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&lt;20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731"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lang w:val="en-US"/>
                    </w:rPr>
                  </w:pPr>
                  <w:r>
                    <w:rPr>
                      <w:rFonts w:hint="eastAsia" w:ascii="宋体" w:hAnsi="宋体" w:eastAsia="宋体" w:cs="宋体"/>
                      <w:color w:val="auto"/>
                      <w:sz w:val="21"/>
                      <w:szCs w:val="21"/>
                      <w:lang w:val="en-US" w:eastAsia="zh-CN"/>
                    </w:rPr>
                    <w:t>2020.09.24</w:t>
                  </w: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sz w:val="21"/>
                      <w:szCs w:val="21"/>
                      <w:lang w:val="en-US" w:eastAsia="zh-CN"/>
                    </w:rPr>
                    <w:t>苯</w:t>
                  </w:r>
                </w:p>
              </w:tc>
              <w:tc>
                <w:tcPr>
                  <w:tcW w:w="447"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r>
                    <w:rPr>
                      <w:rFonts w:hint="eastAsia" w:ascii="宋体" w:hAnsi="宋体" w:eastAsia="宋体" w:cs="宋体"/>
                      <w:color w:val="auto"/>
                      <w:kern w:val="0"/>
                      <w:sz w:val="21"/>
                      <w:szCs w:val="21"/>
                      <w:highlight w:val="none"/>
                    </w:rPr>
                    <w:t>mg/m</w:t>
                  </w:r>
                  <w:r>
                    <w:rPr>
                      <w:rFonts w:hint="eastAsia" w:ascii="宋体" w:hAnsi="宋体" w:eastAsia="宋体" w:cs="宋体"/>
                      <w:color w:val="auto"/>
                      <w:kern w:val="0"/>
                      <w:sz w:val="21"/>
                      <w:szCs w:val="21"/>
                      <w:highlight w:val="none"/>
                      <w:vertAlign w:val="superscript"/>
                    </w:rPr>
                    <w:t>3</w:t>
                  </w: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lang w:val="en-US" w:eastAsia="zh-CN"/>
                    </w:rPr>
                    <w:t>4</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0.501</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0.462</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0.140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15</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0.089</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0.084</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0.259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二甲苯</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20</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0.754</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0.778</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0.743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非甲烷总烃</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120</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8.88</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9.02</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8.66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二氧化硫</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50</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0.007(L)</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0.007(L)</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氮氧化物</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100</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0.005(L)</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0.005(L)</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493"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731"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p>
              </w:tc>
              <w:tc>
                <w:tcPr>
                  <w:tcW w:w="84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ind w:firstLine="210" w:firstLineChars="100"/>
                    <w:jc w:val="both"/>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 xml:space="preserve">颗粒物 </w:t>
                  </w:r>
                </w:p>
              </w:tc>
              <w:tc>
                <w:tcPr>
                  <w:tcW w:w="447"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Cs/>
                      <w:color w:val="auto"/>
                      <w:sz w:val="21"/>
                      <w:szCs w:val="21"/>
                    </w:rPr>
                  </w:pPr>
                </w:p>
              </w:tc>
              <w:tc>
                <w:tcPr>
                  <w:tcW w:w="439"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20</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&lt;20</w:t>
                  </w:r>
                </w:p>
              </w:tc>
              <w:tc>
                <w:tcPr>
                  <w:tcW w:w="691"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&lt;20</w:t>
                  </w:r>
                </w:p>
              </w:tc>
              <w:tc>
                <w:tcPr>
                  <w:tcW w:w="67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&lt;20</w:t>
                  </w:r>
                </w:p>
              </w:tc>
            </w:tr>
          </w:tbl>
          <w:p>
            <w:pPr>
              <w:spacing w:line="360" w:lineRule="auto"/>
              <w:ind w:firstLine="480" w:firstLineChars="200"/>
              <w:jc w:val="both"/>
              <w:rPr>
                <w:rFonts w:hint="eastAsia" w:ascii="Times New Roman" w:hAnsi="Times New Roman" w:cs="Times New Roman"/>
                <w:bCs/>
                <w:color w:val="auto"/>
                <w:sz w:val="24"/>
                <w:szCs w:val="24"/>
                <w:lang w:val="en-US" w:eastAsia="zh-CN"/>
              </w:rPr>
            </w:pPr>
            <w:r>
              <w:rPr>
                <w:rFonts w:hint="eastAsia" w:ascii="Times New Roman" w:hAnsi="Times New Roman" w:cs="Times New Roman"/>
                <w:bCs/>
                <w:color w:val="auto"/>
                <w:sz w:val="24"/>
                <w:szCs w:val="24"/>
                <w:lang w:val="en-US" w:eastAsia="zh-CN"/>
              </w:rPr>
              <w:t>《石油化学工业污染物排放标准》(GB 31571-2015)规定燃烧类有机废气排放口、工艺加热炉的实测大气污染物排放浓度，须换算成基准含氧量为3%的大气污染物基准排放浓度，并与排放限值比较判定排放是否达标。大气污染物基准排放浓度按以下公式进行计算。</w:t>
            </w:r>
          </w:p>
          <w:p>
            <w:pPr>
              <w:pStyle w:val="19"/>
              <w:ind w:firstLine="480" w:firstLineChars="200"/>
              <w:jc w:val="both"/>
            </w:pPr>
            <w:r>
              <w:rPr>
                <w:rFonts w:hint="eastAsia"/>
                <w:lang w:val="en-US" w:eastAsia="zh-CN"/>
              </w:rPr>
              <w:t xml:space="preserve">  </w:t>
            </w:r>
            <w:r>
              <w:drawing>
                <wp:inline distT="0" distB="0" distL="114300" distR="114300">
                  <wp:extent cx="3925570" cy="2050415"/>
                  <wp:effectExtent l="0" t="0" r="17780" b="6985"/>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27"/>
                          <a:stretch>
                            <a:fillRect/>
                          </a:stretch>
                        </pic:blipFill>
                        <pic:spPr>
                          <a:xfrm>
                            <a:off x="0" y="0"/>
                            <a:ext cx="3925570" cy="20504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表17  验收期间实测干烟气含氧量一览表</w:t>
            </w:r>
          </w:p>
          <w:tbl>
            <w:tblPr>
              <w:tblStyle w:val="17"/>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32"/>
              <w:gridCol w:w="2868"/>
              <w:gridCol w:w="26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806" w:type="pct"/>
                  <w:tcBorders>
                    <w:tl2br w:val="nil"/>
                    <w:tr2bl w:val="nil"/>
                  </w:tcBorders>
                  <w:shd w:val="clear" w:color="auto" w:fill="BEBEBE" w:themeFill="background1" w:themeFillShade="BF"/>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kern w:val="0"/>
                      <w:sz w:val="21"/>
                      <w:szCs w:val="21"/>
                      <w:highlight w:val="none"/>
                    </w:rPr>
                    <w:t>采样点位</w:t>
                  </w:r>
                </w:p>
              </w:tc>
              <w:tc>
                <w:tcPr>
                  <w:tcW w:w="1654" w:type="pct"/>
                  <w:tcBorders>
                    <w:tl2br w:val="nil"/>
                    <w:tr2bl w:val="nil"/>
                  </w:tcBorders>
                  <w:shd w:val="clear" w:color="auto" w:fill="BEBEBE" w:themeFill="background1" w:themeFillShade="BF"/>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采样时间</w:t>
                  </w:r>
                </w:p>
              </w:tc>
              <w:tc>
                <w:tcPr>
                  <w:tcW w:w="1538" w:type="pct"/>
                  <w:tcBorders>
                    <w:tl2br w:val="nil"/>
                    <w:tr2bl w:val="nil"/>
                  </w:tcBorders>
                  <w:shd w:val="clear" w:color="auto" w:fill="BEBEBE" w:themeFill="background1" w:themeFillShade="BF"/>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kern w:val="0"/>
                      <w:sz w:val="21"/>
                      <w:szCs w:val="21"/>
                      <w:highlight w:val="none"/>
                      <w:lang w:val="en-US" w:eastAsia="zh-CN"/>
                    </w:rPr>
                    <w:t>实测含氧量</w:t>
                  </w:r>
                  <w:r>
                    <w:rPr>
                      <w:rFonts w:hint="eastAsia" w:ascii="宋体" w:hAnsi="宋体" w:eastAsia="宋体" w:cs="宋体"/>
                      <w:b/>
                      <w:bCs/>
                      <w:color w:val="auto"/>
                      <w:sz w:val="21"/>
                      <w:szCs w:val="21"/>
                      <w:highlight w:val="none"/>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1806" w:type="pct"/>
                  <w:vMerge w:val="restart"/>
                  <w:tcBorders>
                    <w:tl2br w:val="nil"/>
                    <w:tr2bl w:val="nil"/>
                  </w:tcBorders>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2"/>
                      <w:sz w:val="21"/>
                      <w:szCs w:val="21"/>
                      <w:lang w:val="en-US" w:eastAsia="zh-CN"/>
                    </w:rPr>
                    <w:t>VOCs热氧处理系统装置处理后尾气排气管</w:t>
                  </w:r>
                  <w:r>
                    <w:rPr>
                      <w:rFonts w:hint="eastAsia" w:ascii="宋体" w:hAnsi="宋体" w:eastAsia="宋体" w:cs="宋体"/>
                      <w:color w:val="auto"/>
                      <w:kern w:val="0"/>
                      <w:sz w:val="21"/>
                      <w:szCs w:val="21"/>
                      <w:highlight w:val="none"/>
                      <w:lang w:val="en-US" w:eastAsia="zh-CN"/>
                    </w:rPr>
                    <w:t>出口</w:t>
                  </w:r>
                </w:p>
              </w:tc>
              <w:tc>
                <w:tcPr>
                  <w:tcW w:w="1654" w:type="pct"/>
                  <w:vMerge w:val="restart"/>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highlight w:val="none"/>
                      <w:lang w:val="en-US" w:eastAsia="zh-CN"/>
                    </w:rPr>
                    <w:t>9月23日</w:t>
                  </w: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6" w:type="pct"/>
                  <w:vMerge w:val="continue"/>
                  <w:tcBorders>
                    <w:tl2br w:val="nil"/>
                    <w:tr2bl w:val="nil"/>
                  </w:tcBorders>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p>
              </w:tc>
              <w:tc>
                <w:tcPr>
                  <w:tcW w:w="1654" w:type="pct"/>
                  <w:vMerge w:val="continue"/>
                  <w:tcBorders>
                    <w:tl2br w:val="nil"/>
                    <w:tr2bl w:val="nil"/>
                  </w:tcBorders>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6" w:type="pct"/>
                  <w:vMerge w:val="continue"/>
                  <w:tcBorders>
                    <w:tl2br w:val="nil"/>
                    <w:tr2bl w:val="nil"/>
                  </w:tcBorders>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p>
              </w:tc>
              <w:tc>
                <w:tcPr>
                  <w:tcW w:w="1654" w:type="pct"/>
                  <w:vMerge w:val="continue"/>
                  <w:tcBorders>
                    <w:tl2br w:val="nil"/>
                    <w:tr2bl w:val="nil"/>
                  </w:tcBorders>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16.1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6" w:type="pct"/>
                  <w:vMerge w:val="continue"/>
                  <w:tcBorders>
                    <w:tl2br w:val="nil"/>
                    <w:tr2bl w:val="nil"/>
                  </w:tcBorders>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p>
              </w:tc>
              <w:tc>
                <w:tcPr>
                  <w:tcW w:w="1654" w:type="pct"/>
                  <w:vMerge w:val="restart"/>
                  <w:tcBorders>
                    <w:tl2br w:val="nil"/>
                    <w:tr2bl w:val="nil"/>
                  </w:tcBorders>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highlight w:val="none"/>
                      <w:lang w:val="en-US" w:eastAsia="zh-CN"/>
                    </w:rPr>
                    <w:t>9月24日</w:t>
                  </w: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16.3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6" w:type="pct"/>
                  <w:vMerge w:val="continue"/>
                  <w:tcBorders>
                    <w:tl2br w:val="nil"/>
                    <w:tr2bl w:val="nil"/>
                  </w:tcBorders>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p>
              </w:tc>
              <w:tc>
                <w:tcPr>
                  <w:tcW w:w="1654" w:type="pct"/>
                  <w:vMerge w:val="continue"/>
                  <w:tcBorders>
                    <w:tl2br w:val="nil"/>
                    <w:tr2bl w:val="nil"/>
                  </w:tcBorders>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06" w:type="pct"/>
                  <w:vMerge w:val="continue"/>
                  <w:tcBorders>
                    <w:tl2br w:val="nil"/>
                    <w:tr2bl w:val="nil"/>
                  </w:tcBorders>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p>
              </w:tc>
              <w:tc>
                <w:tcPr>
                  <w:tcW w:w="1654" w:type="pct"/>
                  <w:vMerge w:val="continue"/>
                  <w:tcBorders>
                    <w:tl2br w:val="nil"/>
                    <w:tr2bl w:val="nil"/>
                  </w:tcBorders>
                  <w:vAlign w:val="center"/>
                </w:tcPr>
                <w:p>
                  <w:pPr>
                    <w:pStyle w:val="19"/>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sz w:val="21"/>
                      <w:szCs w:val="21"/>
                      <w:vertAlign w:val="baseline"/>
                      <w:lang w:val="en-US" w:eastAsia="zh-CN"/>
                    </w:rPr>
                  </w:pPr>
                </w:p>
              </w:tc>
              <w:tc>
                <w:tcPr>
                  <w:tcW w:w="153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sz w:val="21"/>
                      <w:szCs w:val="21"/>
                      <w:highlight w:val="none"/>
                      <w:lang w:val="en-US" w:eastAsia="zh-CN"/>
                    </w:rPr>
                    <w:t>15.9</w:t>
                  </w:r>
                </w:p>
              </w:tc>
            </w:tr>
          </w:tbl>
          <w:p>
            <w:pPr>
              <w:pStyle w:val="2"/>
              <w:keepNext w:val="0"/>
              <w:keepLines w:val="0"/>
              <w:pageBreakBefore w:val="0"/>
              <w:widowControl w:val="0"/>
              <w:kinsoku/>
              <w:wordWrap/>
              <w:overflowPunct/>
              <w:topLinePunct w:val="0"/>
              <w:autoSpaceDE w:val="0"/>
              <w:autoSpaceDN w:val="0"/>
              <w:bidi w:val="0"/>
              <w:adjustRightInd/>
              <w:snapToGrid/>
              <w:spacing w:line="360" w:lineRule="auto"/>
              <w:ind w:firstLine="464" w:firstLineChars="200"/>
              <w:jc w:val="both"/>
              <w:textAlignment w:val="auto"/>
              <w:rPr>
                <w:rFonts w:hint="eastAsia" w:ascii="宋体" w:hAnsi="宋体" w:eastAsia="宋体" w:cs="宋体"/>
                <w:color w:val="auto"/>
                <w:spacing w:val="-4"/>
                <w:sz w:val="24"/>
                <w:szCs w:val="24"/>
                <w:lang w:val="en-US" w:eastAsia="zh-CN"/>
              </w:rPr>
            </w:pPr>
            <w:r>
              <w:rPr>
                <w:rFonts w:hint="eastAsia" w:ascii="宋体" w:hAnsi="宋体" w:eastAsia="宋体" w:cs="宋体"/>
                <w:color w:val="auto"/>
                <w:spacing w:val="-4"/>
                <w:sz w:val="24"/>
                <w:szCs w:val="24"/>
                <w:lang w:val="en-US" w:eastAsia="zh-CN"/>
              </w:rPr>
              <w:t>VOCs热氧处理系统装置处理后尾气排气筒出口基准排放浓度（按基准含氧量为3%算）见下表：</w:t>
            </w:r>
          </w:p>
          <w:p>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宋体" w:hAnsi="宋体" w:eastAsia="宋体" w:cs="宋体"/>
                <w:b/>
                <w:bCs/>
                <w:sz w:val="21"/>
                <w:szCs w:val="21"/>
                <w:lang w:val="en-US" w:eastAsia="zh-CN"/>
              </w:rPr>
            </w:pPr>
            <w:r>
              <w:rPr>
                <w:rFonts w:hint="eastAsia" w:ascii="宋体" w:hAnsi="宋体" w:eastAsia="宋体" w:cs="宋体"/>
                <w:b/>
                <w:bCs/>
                <w:sz w:val="21"/>
                <w:szCs w:val="21"/>
                <w:lang w:val="en-US" w:eastAsia="zh-CN"/>
              </w:rPr>
              <w:t>表18  装置处理后尾气排气筒基准排放浓度结果一览表 （单位：mg/m</w:t>
            </w:r>
            <w:r>
              <w:rPr>
                <w:rFonts w:hint="eastAsia" w:ascii="宋体" w:hAnsi="宋体" w:eastAsia="宋体" w:cs="宋体"/>
                <w:b/>
                <w:bCs/>
                <w:sz w:val="21"/>
                <w:szCs w:val="21"/>
                <w:vertAlign w:val="superscript"/>
                <w:lang w:val="en-US" w:eastAsia="zh-CN"/>
              </w:rPr>
              <w:t>3</w:t>
            </w:r>
            <w:r>
              <w:rPr>
                <w:rFonts w:hint="eastAsia" w:ascii="宋体" w:hAnsi="宋体" w:eastAsia="宋体" w:cs="宋体"/>
                <w:b/>
                <w:bCs/>
                <w:sz w:val="21"/>
                <w:szCs w:val="21"/>
                <w:lang w:val="en-US" w:eastAsia="zh-CN"/>
              </w:rPr>
              <w:t>）</w:t>
            </w:r>
          </w:p>
          <w:tbl>
            <w:tblPr>
              <w:tblStyle w:val="17"/>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8"/>
              <w:gridCol w:w="1352"/>
              <w:gridCol w:w="1446"/>
              <w:gridCol w:w="1184"/>
              <w:gridCol w:w="1156"/>
              <w:gridCol w:w="1158"/>
              <w:gridCol w:w="11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1" w:type="pct"/>
                  <w:vMerge w:val="restart"/>
                  <w:tcBorders>
                    <w:tl2br w:val="nil"/>
                    <w:tr2bl w:val="nil"/>
                  </w:tcBorders>
                  <w:shd w:val="clear" w:color="auto" w:fill="BEBEBE" w:themeFill="background1" w:themeFillShade="BF"/>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r>
                    <w:rPr>
                      <w:rFonts w:hint="eastAsia" w:ascii="宋体" w:hAnsi="宋体" w:eastAsia="宋体" w:cs="宋体"/>
                      <w:b/>
                      <w:bCs w:val="0"/>
                      <w:color w:val="auto"/>
                      <w:sz w:val="21"/>
                      <w:szCs w:val="21"/>
                    </w:rPr>
                    <w:t>监测点位</w:t>
                  </w:r>
                </w:p>
              </w:tc>
              <w:tc>
                <w:tcPr>
                  <w:tcW w:w="780" w:type="pct"/>
                  <w:vMerge w:val="restart"/>
                  <w:tcBorders>
                    <w:tl2br w:val="nil"/>
                    <w:tr2bl w:val="nil"/>
                  </w:tcBorders>
                  <w:shd w:val="clear" w:color="auto" w:fill="BEBEBE" w:themeFill="background1" w:themeFillShade="BF"/>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r>
                    <w:rPr>
                      <w:rFonts w:hint="eastAsia" w:ascii="宋体" w:hAnsi="宋体" w:eastAsia="宋体" w:cs="宋体"/>
                      <w:b/>
                      <w:bCs w:val="0"/>
                      <w:color w:val="auto"/>
                      <w:sz w:val="21"/>
                      <w:szCs w:val="21"/>
                    </w:rPr>
                    <w:t>监测时间</w:t>
                  </w:r>
                </w:p>
              </w:tc>
              <w:tc>
                <w:tcPr>
                  <w:tcW w:w="834" w:type="pct"/>
                  <w:vMerge w:val="restart"/>
                  <w:tcBorders>
                    <w:tl2br w:val="nil"/>
                    <w:tr2bl w:val="nil"/>
                  </w:tcBorders>
                  <w:shd w:val="clear" w:color="auto" w:fill="BEBEBE" w:themeFill="background1" w:themeFillShade="BF"/>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r>
                    <w:rPr>
                      <w:rFonts w:hint="eastAsia" w:ascii="宋体" w:hAnsi="宋体" w:eastAsia="宋体" w:cs="宋体"/>
                      <w:b/>
                      <w:bCs w:val="0"/>
                      <w:color w:val="auto"/>
                      <w:sz w:val="21"/>
                      <w:szCs w:val="21"/>
                    </w:rPr>
                    <w:t>监测项目</w:t>
                  </w:r>
                </w:p>
              </w:tc>
              <w:tc>
                <w:tcPr>
                  <w:tcW w:w="683" w:type="pct"/>
                  <w:vMerge w:val="restart"/>
                  <w:tcBorders>
                    <w:tl2br w:val="nil"/>
                    <w:tr2bl w:val="nil"/>
                  </w:tcBorders>
                  <w:shd w:val="clear" w:color="auto" w:fill="BEBEBE" w:themeFill="background1" w:themeFillShade="BF"/>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r>
                    <w:rPr>
                      <w:rFonts w:hint="eastAsia" w:ascii="宋体" w:hAnsi="宋体" w:eastAsia="宋体" w:cs="宋体"/>
                      <w:b/>
                      <w:bCs w:val="0"/>
                      <w:color w:val="auto"/>
                      <w:sz w:val="21"/>
                      <w:szCs w:val="21"/>
                    </w:rPr>
                    <w:t>参考限值</w:t>
                  </w:r>
                </w:p>
              </w:tc>
              <w:tc>
                <w:tcPr>
                  <w:tcW w:w="2011" w:type="pct"/>
                  <w:gridSpan w:val="3"/>
                  <w:tcBorders>
                    <w:tl2br w:val="nil"/>
                    <w:tr2bl w:val="nil"/>
                  </w:tcBorders>
                  <w:shd w:val="clear" w:color="auto" w:fill="BEBEBE" w:themeFill="background1" w:themeFillShade="BF"/>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r>
                    <w:rPr>
                      <w:rFonts w:hint="eastAsia" w:ascii="宋体" w:hAnsi="宋体" w:eastAsia="宋体" w:cs="宋体"/>
                      <w:b/>
                      <w:bCs w:val="0"/>
                      <w:color w:val="auto"/>
                      <w:sz w:val="21"/>
                      <w:szCs w:val="21"/>
                      <w:lang w:eastAsia="zh-CN"/>
                    </w:rPr>
                    <w:t>基准浓度</w:t>
                  </w:r>
                  <w:r>
                    <w:rPr>
                      <w:rFonts w:hint="eastAsia" w:ascii="宋体" w:hAnsi="宋体" w:eastAsia="宋体" w:cs="宋体"/>
                      <w:b/>
                      <w:bCs w:val="0"/>
                      <w:color w:val="auto"/>
                      <w:sz w:val="21"/>
                      <w:szCs w:val="21"/>
                    </w:rPr>
                    <w:t>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91" w:type="pct"/>
                  <w:vMerge w:val="continue"/>
                  <w:tcBorders>
                    <w:tl2br w:val="nil"/>
                    <w:tr2bl w:val="nil"/>
                  </w:tcBorders>
                  <w:shd w:val="clear" w:color="auto" w:fill="BEBEBE" w:themeFill="background1" w:themeFillShade="BF"/>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pPr>
                </w:p>
              </w:tc>
              <w:tc>
                <w:tcPr>
                  <w:tcW w:w="780" w:type="pct"/>
                  <w:vMerge w:val="continue"/>
                  <w:tcBorders>
                    <w:tl2br w:val="nil"/>
                    <w:tr2bl w:val="nil"/>
                  </w:tcBorders>
                  <w:shd w:val="clear" w:color="auto" w:fill="BEBEBE" w:themeFill="background1" w:themeFillShade="BF"/>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pPr>
                </w:p>
              </w:tc>
              <w:tc>
                <w:tcPr>
                  <w:tcW w:w="834" w:type="pct"/>
                  <w:vMerge w:val="continue"/>
                  <w:tcBorders>
                    <w:tl2br w:val="nil"/>
                    <w:tr2bl w:val="nil"/>
                  </w:tcBorders>
                  <w:shd w:val="clear" w:color="auto" w:fill="BEBEBE" w:themeFill="background1" w:themeFillShade="BF"/>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pPr>
                </w:p>
              </w:tc>
              <w:tc>
                <w:tcPr>
                  <w:tcW w:w="683" w:type="pct"/>
                  <w:vMerge w:val="continue"/>
                  <w:tcBorders>
                    <w:tl2br w:val="nil"/>
                    <w:tr2bl w:val="nil"/>
                  </w:tcBorders>
                  <w:shd w:val="clear" w:color="auto" w:fill="BEBEBE" w:themeFill="background1" w:themeFillShade="BF"/>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pPr>
                </w:p>
              </w:tc>
              <w:tc>
                <w:tcPr>
                  <w:tcW w:w="667" w:type="pct"/>
                  <w:tcBorders>
                    <w:tl2br w:val="nil"/>
                    <w:tr2bl w:val="nil"/>
                  </w:tcBorders>
                  <w:shd w:val="clear" w:color="auto" w:fill="BEBEBE" w:themeFill="background1" w:themeFillShade="BF"/>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b/>
                      <w:bCs w:val="0"/>
                      <w:color w:val="auto"/>
                      <w:kern w:val="0"/>
                      <w:sz w:val="21"/>
                      <w:szCs w:val="21"/>
                      <w:lang w:val="en-US" w:eastAsia="zh-CN" w:bidi="ar-SA"/>
                    </w:rPr>
                  </w:pPr>
                  <w:r>
                    <w:rPr>
                      <w:rFonts w:hint="eastAsia" w:ascii="宋体" w:hAnsi="宋体" w:eastAsia="宋体" w:cs="宋体"/>
                      <w:b/>
                      <w:bCs w:val="0"/>
                      <w:color w:val="auto"/>
                      <w:sz w:val="21"/>
                      <w:szCs w:val="21"/>
                    </w:rPr>
                    <w:t>第1次</w:t>
                  </w:r>
                </w:p>
              </w:tc>
              <w:tc>
                <w:tcPr>
                  <w:tcW w:w="668" w:type="pct"/>
                  <w:tcBorders>
                    <w:tl2br w:val="nil"/>
                    <w:tr2bl w:val="nil"/>
                  </w:tcBorders>
                  <w:shd w:val="clear" w:color="auto" w:fill="BEBEBE" w:themeFill="background1" w:themeFillShade="BF"/>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b/>
                      <w:bCs w:val="0"/>
                      <w:color w:val="auto"/>
                      <w:kern w:val="0"/>
                      <w:sz w:val="21"/>
                      <w:szCs w:val="21"/>
                      <w:lang w:val="en-US" w:eastAsia="zh-CN" w:bidi="ar-SA"/>
                    </w:rPr>
                  </w:pPr>
                  <w:r>
                    <w:rPr>
                      <w:rFonts w:hint="eastAsia" w:ascii="宋体" w:hAnsi="宋体" w:eastAsia="宋体" w:cs="宋体"/>
                      <w:b/>
                      <w:bCs w:val="0"/>
                      <w:color w:val="auto"/>
                      <w:sz w:val="21"/>
                      <w:szCs w:val="21"/>
                    </w:rPr>
                    <w:t>第2次</w:t>
                  </w:r>
                </w:p>
              </w:tc>
              <w:tc>
                <w:tcPr>
                  <w:tcW w:w="674" w:type="pct"/>
                  <w:tcBorders>
                    <w:tl2br w:val="nil"/>
                    <w:tr2bl w:val="nil"/>
                  </w:tcBorders>
                  <w:shd w:val="clear" w:color="auto" w:fill="BEBEBE" w:themeFill="background1" w:themeFillShade="BF"/>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b/>
                      <w:bCs w:val="0"/>
                      <w:color w:val="auto"/>
                      <w:kern w:val="0"/>
                      <w:sz w:val="21"/>
                      <w:szCs w:val="21"/>
                      <w:lang w:val="en-US" w:eastAsia="zh-CN" w:bidi="ar-SA"/>
                    </w:rPr>
                  </w:pPr>
                  <w:r>
                    <w:rPr>
                      <w:rFonts w:hint="eastAsia" w:ascii="宋体" w:hAnsi="宋体" w:eastAsia="宋体" w:cs="宋体"/>
                      <w:b/>
                      <w:bCs w:val="0"/>
                      <w:color w:val="auto"/>
                      <w:sz w:val="21"/>
                      <w:szCs w:val="21"/>
                    </w:rPr>
                    <w:t>第3次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691" w:type="pct"/>
                  <w:vMerge w:val="restart"/>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r>
                    <w:rPr>
                      <w:rFonts w:hint="eastAsia" w:ascii="Times New Roman" w:hAnsi="Times New Roman" w:eastAsia="宋体" w:cs="Times New Roman"/>
                      <w:color w:val="auto"/>
                      <w:kern w:val="2"/>
                      <w:sz w:val="21"/>
                      <w:szCs w:val="21"/>
                      <w:lang w:val="en-US" w:eastAsia="zh-CN"/>
                    </w:rPr>
                    <w:t>VOCs热氧处理系统装置处理后尾气排气筒</w:t>
                  </w:r>
                  <w:r>
                    <w:rPr>
                      <w:rFonts w:hint="eastAsia" w:ascii="宋体" w:hAnsi="宋体" w:eastAsia="宋体" w:cs="宋体"/>
                      <w:kern w:val="0"/>
                      <w:sz w:val="21"/>
                      <w:szCs w:val="21"/>
                      <w:highlight w:val="none"/>
                      <w:lang w:val="en-US" w:eastAsia="zh-CN"/>
                    </w:rPr>
                    <w:t>（出口）</w:t>
                  </w:r>
                </w:p>
              </w:tc>
              <w:tc>
                <w:tcPr>
                  <w:tcW w:w="780" w:type="pct"/>
                  <w:vMerge w:val="restar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bCs/>
                      <w:color w:val="auto"/>
                      <w:kern w:val="0"/>
                      <w:sz w:val="21"/>
                      <w:szCs w:val="21"/>
                      <w:lang w:val="en-US" w:eastAsia="en-US" w:bidi="ar-SA"/>
                    </w:rPr>
                  </w:pPr>
                  <w:r>
                    <w:rPr>
                      <w:rFonts w:hint="eastAsia" w:ascii="宋体" w:hAnsi="宋体" w:eastAsia="宋体" w:cs="宋体"/>
                      <w:color w:val="auto"/>
                      <w:sz w:val="21"/>
                      <w:szCs w:val="21"/>
                      <w:lang w:val="en-US" w:eastAsia="zh-CN"/>
                    </w:rPr>
                    <w:t>2020.09.23</w:t>
                  </w:r>
                </w:p>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bCs/>
                      <w:color w:val="auto"/>
                      <w:kern w:val="0"/>
                      <w:sz w:val="21"/>
                      <w:szCs w:val="21"/>
                      <w:lang w:val="en-US" w:eastAsia="zh-CN" w:bidi="ar-SA"/>
                    </w:rPr>
                  </w:pPr>
                  <w:r>
                    <w:rPr>
                      <w:rFonts w:hint="eastAsia" w:ascii="宋体" w:hAnsi="宋体" w:eastAsia="宋体" w:cs="宋体"/>
                      <w:bCs/>
                      <w:color w:val="auto"/>
                      <w:sz w:val="21"/>
                      <w:szCs w:val="21"/>
                      <w:lang w:val="en-US" w:eastAsia="zh-CN"/>
                    </w:rPr>
                    <w:t>苯</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lang w:val="en-US" w:eastAsia="zh-CN"/>
                    </w:rPr>
                    <w:t>4</w:t>
                  </w:r>
                </w:p>
              </w:tc>
              <w:tc>
                <w:tcPr>
                  <w:tcW w:w="667"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default"/>
                      <w:vertAlign w:val="baseline"/>
                      <w:lang w:val="en-US" w:eastAsia="zh-CN"/>
                    </w:rPr>
                  </w:pPr>
                  <w:r>
                    <w:rPr>
                      <w:rFonts w:hint="eastAsia" w:ascii="宋体" w:hAnsi="宋体" w:eastAsia="宋体" w:cs="宋体"/>
                      <w:i w:val="0"/>
                      <w:color w:val="000000"/>
                      <w:kern w:val="0"/>
                      <w:sz w:val="24"/>
                      <w:szCs w:val="24"/>
                      <w:u w:val="none"/>
                      <w:lang w:val="en-US" w:eastAsia="zh-CN" w:bidi="ar"/>
                    </w:rPr>
                    <w:t>1.58</w:t>
                  </w:r>
                </w:p>
              </w:tc>
              <w:tc>
                <w:tcPr>
                  <w:tcW w:w="668"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default"/>
                      <w:vertAlign w:val="baseline"/>
                      <w:lang w:val="en-US" w:eastAsia="zh-CN"/>
                    </w:rPr>
                  </w:pPr>
                  <w:r>
                    <w:rPr>
                      <w:rFonts w:hint="eastAsia" w:ascii="宋体" w:hAnsi="宋体" w:eastAsia="宋体" w:cs="宋体"/>
                      <w:i w:val="0"/>
                      <w:color w:val="000000"/>
                      <w:kern w:val="0"/>
                      <w:sz w:val="24"/>
                      <w:szCs w:val="24"/>
                      <w:u w:val="none"/>
                      <w:lang w:val="en-US" w:eastAsia="zh-CN" w:bidi="ar"/>
                    </w:rPr>
                    <w:t>2.19</w:t>
                  </w:r>
                </w:p>
              </w:tc>
              <w:tc>
                <w:tcPr>
                  <w:tcW w:w="674"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default"/>
                      <w:vertAlign w:val="baseline"/>
                      <w:lang w:val="en-US" w:eastAsia="zh-CN"/>
                    </w:rPr>
                  </w:pPr>
                  <w:r>
                    <w:rPr>
                      <w:rFonts w:hint="eastAsia" w:ascii="宋体" w:hAnsi="宋体" w:eastAsia="宋体" w:cs="宋体"/>
                      <w:i w:val="0"/>
                      <w:color w:val="000000"/>
                      <w:kern w:val="0"/>
                      <w:sz w:val="24"/>
                      <w:szCs w:val="24"/>
                      <w:u w:val="none"/>
                      <w:lang w:val="en-US" w:eastAsia="zh-CN" w:bidi="ar"/>
                    </w:rPr>
                    <w:t>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甲苯</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15</w:t>
                  </w:r>
                </w:p>
              </w:tc>
              <w:tc>
                <w:tcPr>
                  <w:tcW w:w="667"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default"/>
                      <w:vertAlign w:val="baseline"/>
                      <w:lang w:val="en-US" w:eastAsia="zh-CN"/>
                    </w:rPr>
                  </w:pPr>
                  <w:r>
                    <w:rPr>
                      <w:rFonts w:hint="eastAsia" w:ascii="宋体" w:hAnsi="宋体" w:eastAsia="宋体" w:cs="宋体"/>
                      <w:i w:val="0"/>
                      <w:color w:val="000000"/>
                      <w:kern w:val="0"/>
                      <w:sz w:val="24"/>
                      <w:szCs w:val="24"/>
                      <w:u w:val="none"/>
                      <w:lang w:val="en-US" w:eastAsia="zh-CN" w:bidi="ar"/>
                    </w:rPr>
                    <w:t>0.41</w:t>
                  </w:r>
                </w:p>
              </w:tc>
              <w:tc>
                <w:tcPr>
                  <w:tcW w:w="668"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0.29</w:t>
                  </w:r>
                </w:p>
              </w:tc>
              <w:tc>
                <w:tcPr>
                  <w:tcW w:w="674"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2.42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二甲苯</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20</w:t>
                  </w:r>
                </w:p>
              </w:tc>
              <w:tc>
                <w:tcPr>
                  <w:tcW w:w="667"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0.63</w:t>
                  </w:r>
                </w:p>
              </w:tc>
              <w:tc>
                <w:tcPr>
                  <w:tcW w:w="668"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3.27</w:t>
                  </w:r>
                </w:p>
              </w:tc>
              <w:tc>
                <w:tcPr>
                  <w:tcW w:w="674"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2.31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非甲烷总烃</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120</w:t>
                  </w:r>
                </w:p>
              </w:tc>
              <w:tc>
                <w:tcPr>
                  <w:tcW w:w="667"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37.01</w:t>
                  </w:r>
                </w:p>
              </w:tc>
              <w:tc>
                <w:tcPr>
                  <w:tcW w:w="668"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35.20</w:t>
                  </w:r>
                </w:p>
              </w:tc>
              <w:tc>
                <w:tcPr>
                  <w:tcW w:w="674"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37.65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二氧化硫</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50</w:t>
                  </w:r>
                </w:p>
              </w:tc>
              <w:tc>
                <w:tcPr>
                  <w:tcW w:w="66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0.007(L)</w:t>
                  </w:r>
                </w:p>
              </w:tc>
              <w:tc>
                <w:tcPr>
                  <w:tcW w:w="66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0.007(L)</w:t>
                  </w:r>
                </w:p>
              </w:tc>
              <w:tc>
                <w:tcPr>
                  <w:tcW w:w="67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氮氧化物</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100</w:t>
                  </w:r>
                </w:p>
              </w:tc>
              <w:tc>
                <w:tcPr>
                  <w:tcW w:w="66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0.005(L)</w:t>
                  </w:r>
                </w:p>
              </w:tc>
              <w:tc>
                <w:tcPr>
                  <w:tcW w:w="66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0.005(L)</w:t>
                  </w:r>
                </w:p>
              </w:tc>
              <w:tc>
                <w:tcPr>
                  <w:tcW w:w="67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ind w:firstLine="210" w:firstLineChars="10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颗粒物</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20</w:t>
                  </w:r>
                </w:p>
              </w:tc>
              <w:tc>
                <w:tcPr>
                  <w:tcW w:w="667"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&lt;20</w:t>
                  </w:r>
                </w:p>
              </w:tc>
              <w:tc>
                <w:tcPr>
                  <w:tcW w:w="668"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&lt;20</w:t>
                  </w:r>
                </w:p>
              </w:tc>
              <w:tc>
                <w:tcPr>
                  <w:tcW w:w="67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&lt;20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restar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bCs/>
                      <w:color w:val="auto"/>
                      <w:kern w:val="0"/>
                      <w:sz w:val="21"/>
                      <w:szCs w:val="21"/>
                      <w:lang w:val="en-US" w:eastAsia="zh-CN" w:bidi="ar-SA"/>
                    </w:rPr>
                  </w:pPr>
                  <w:r>
                    <w:rPr>
                      <w:rFonts w:hint="eastAsia" w:ascii="宋体" w:hAnsi="宋体" w:eastAsia="宋体" w:cs="宋体"/>
                      <w:color w:val="auto"/>
                      <w:sz w:val="21"/>
                      <w:szCs w:val="21"/>
                      <w:lang w:val="en-US" w:eastAsia="zh-CN"/>
                    </w:rPr>
                    <w:t>2020.09.24</w:t>
                  </w: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sz w:val="21"/>
                      <w:szCs w:val="21"/>
                      <w:lang w:val="en-US" w:eastAsia="zh-CN"/>
                    </w:rPr>
                    <w:t>苯</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lang w:val="en-US" w:eastAsia="zh-CN"/>
                    </w:rPr>
                    <w:t>4</w:t>
                  </w:r>
                </w:p>
              </w:tc>
              <w:tc>
                <w:tcPr>
                  <w:tcW w:w="667"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1.92</w:t>
                  </w:r>
                </w:p>
              </w:tc>
              <w:tc>
                <w:tcPr>
                  <w:tcW w:w="1157" w:type="dxa"/>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1.66</w:t>
                  </w:r>
                </w:p>
              </w:tc>
              <w:tc>
                <w:tcPr>
                  <w:tcW w:w="1170" w:type="dxa"/>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0.49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甲苯</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15</w:t>
                  </w:r>
                </w:p>
              </w:tc>
              <w:tc>
                <w:tcPr>
                  <w:tcW w:w="667"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0.34</w:t>
                  </w:r>
                </w:p>
              </w:tc>
              <w:tc>
                <w:tcPr>
                  <w:tcW w:w="1157" w:type="dxa"/>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0.30</w:t>
                  </w:r>
                </w:p>
              </w:tc>
              <w:tc>
                <w:tcPr>
                  <w:tcW w:w="1170" w:type="dxa"/>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0.91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二甲苯</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20</w:t>
                  </w:r>
                </w:p>
              </w:tc>
              <w:tc>
                <w:tcPr>
                  <w:tcW w:w="667"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2.89</w:t>
                  </w:r>
                </w:p>
              </w:tc>
              <w:tc>
                <w:tcPr>
                  <w:tcW w:w="1157" w:type="dxa"/>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2.80</w:t>
                  </w:r>
                </w:p>
              </w:tc>
              <w:tc>
                <w:tcPr>
                  <w:tcW w:w="1170" w:type="dxa"/>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2.62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非甲烷总烃</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120</w:t>
                  </w:r>
                </w:p>
              </w:tc>
              <w:tc>
                <w:tcPr>
                  <w:tcW w:w="667" w:type="pct"/>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34.01</w:t>
                  </w:r>
                </w:p>
              </w:tc>
              <w:tc>
                <w:tcPr>
                  <w:tcW w:w="1157" w:type="dxa"/>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32.47</w:t>
                  </w:r>
                </w:p>
              </w:tc>
              <w:tc>
                <w:tcPr>
                  <w:tcW w:w="1170" w:type="dxa"/>
                  <w:tcBorders>
                    <w:tl2br w:val="nil"/>
                    <w:tr2bl w:val="nil"/>
                  </w:tcBorders>
                  <w:vAlign w:val="center"/>
                </w:tcPr>
                <w:p>
                  <w:pPr>
                    <w:keepNext w:val="0"/>
                    <w:keepLines w:val="0"/>
                    <w:pageBreakBefore w:val="0"/>
                    <w:widowControl/>
                    <w:suppressLineNumbers w:val="0"/>
                    <w:kinsoku/>
                    <w:wordWrap/>
                    <w:overflowPunct/>
                    <w:topLinePunct w:val="0"/>
                    <w:autoSpaceDE w:val="0"/>
                    <w:autoSpaceDN w:val="0"/>
                    <w:bidi w:val="0"/>
                    <w:adjustRightInd/>
                    <w:jc w:val="center"/>
                    <w:textAlignment w:val="center"/>
                    <w:rPr>
                      <w:rFonts w:hint="eastAsia"/>
                      <w:vertAlign w:val="baseline"/>
                      <w:lang w:val="en-US" w:eastAsia="zh-CN"/>
                    </w:rPr>
                  </w:pPr>
                  <w:r>
                    <w:rPr>
                      <w:rFonts w:hint="eastAsia" w:ascii="宋体" w:hAnsi="宋体" w:eastAsia="宋体" w:cs="宋体"/>
                      <w:i w:val="0"/>
                      <w:color w:val="000000"/>
                      <w:kern w:val="0"/>
                      <w:sz w:val="24"/>
                      <w:szCs w:val="24"/>
                      <w:u w:val="none"/>
                      <w:lang w:val="en-US" w:eastAsia="zh-CN" w:bidi="ar"/>
                    </w:rPr>
                    <w:t>30.57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二氧化硫</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50</w:t>
                  </w:r>
                </w:p>
              </w:tc>
              <w:tc>
                <w:tcPr>
                  <w:tcW w:w="1155"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0.007(L)</w:t>
                  </w:r>
                </w:p>
              </w:tc>
              <w:tc>
                <w:tcPr>
                  <w:tcW w:w="115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vertAlign w:val="baseline"/>
                      <w:lang w:val="en-US" w:eastAsia="zh-CN"/>
                    </w:rPr>
                  </w:pPr>
                  <w:r>
                    <w:rPr>
                      <w:rFonts w:hint="eastAsia" w:ascii="宋体" w:hAnsi="宋体" w:eastAsia="宋体" w:cs="宋体"/>
                      <w:color w:val="000000"/>
                      <w:kern w:val="0"/>
                      <w:sz w:val="21"/>
                      <w:szCs w:val="21"/>
                      <w:highlight w:val="none"/>
                      <w:lang w:val="en-US" w:eastAsia="zh-CN"/>
                    </w:rPr>
                    <w:t>0.007(L)</w:t>
                  </w:r>
                </w:p>
              </w:tc>
              <w:tc>
                <w:tcPr>
                  <w:tcW w:w="117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vertAlign w:val="baseline"/>
                      <w:lang w:val="en-US" w:eastAsia="zh-CN"/>
                    </w:rPr>
                  </w:pPr>
                  <w:r>
                    <w:rPr>
                      <w:rFonts w:hint="eastAsia" w:ascii="宋体" w:hAnsi="宋体" w:eastAsia="宋体" w:cs="宋体"/>
                      <w:color w:val="000000"/>
                      <w:kern w:val="0"/>
                      <w:sz w:val="21"/>
                      <w:szCs w:val="21"/>
                      <w:highlight w:val="none"/>
                      <w:lang w:val="en-US" w:eastAsia="zh-CN"/>
                    </w:rPr>
                    <w:t>0.007(L)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氮氧化物</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100</w:t>
                  </w:r>
                </w:p>
              </w:tc>
              <w:tc>
                <w:tcPr>
                  <w:tcW w:w="1155"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0.005(L)</w:t>
                  </w:r>
                </w:p>
              </w:tc>
              <w:tc>
                <w:tcPr>
                  <w:tcW w:w="115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vertAlign w:val="baseline"/>
                      <w:lang w:val="en-US" w:eastAsia="zh-CN"/>
                    </w:rPr>
                  </w:pPr>
                  <w:r>
                    <w:rPr>
                      <w:rFonts w:hint="eastAsia" w:ascii="宋体" w:hAnsi="宋体" w:eastAsia="宋体" w:cs="宋体"/>
                      <w:color w:val="000000"/>
                      <w:kern w:val="0"/>
                      <w:sz w:val="21"/>
                      <w:szCs w:val="21"/>
                      <w:highlight w:val="none"/>
                      <w:lang w:val="en-US" w:eastAsia="zh-CN"/>
                    </w:rPr>
                    <w:t>0.005(L)</w:t>
                  </w:r>
                </w:p>
              </w:tc>
              <w:tc>
                <w:tcPr>
                  <w:tcW w:w="117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vertAlign w:val="baseline"/>
                      <w:lang w:val="en-US" w:eastAsia="zh-CN"/>
                    </w:rPr>
                  </w:pPr>
                  <w:r>
                    <w:rPr>
                      <w:rFonts w:hint="eastAsia" w:ascii="宋体" w:hAnsi="宋体" w:eastAsia="宋体" w:cs="宋体"/>
                      <w:color w:val="000000"/>
                      <w:kern w:val="0"/>
                      <w:sz w:val="21"/>
                      <w:szCs w:val="21"/>
                      <w:highlight w:val="none"/>
                      <w:lang w:val="en-US" w:eastAsia="zh-CN"/>
                    </w:rPr>
                    <w:t>0.005(L)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91"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ascii="Times New Roman" w:hAnsi="Times New Roman" w:eastAsia="宋体" w:cs="Times New Roman"/>
                      <w:color w:val="auto"/>
                      <w:kern w:val="2"/>
                      <w:sz w:val="21"/>
                      <w:szCs w:val="21"/>
                      <w:lang w:val="en-US" w:eastAsia="zh-CN"/>
                    </w:rPr>
                  </w:pPr>
                </w:p>
              </w:tc>
              <w:tc>
                <w:tcPr>
                  <w:tcW w:w="780" w:type="pct"/>
                  <w:vMerge w:val="continue"/>
                  <w:tcBorders>
                    <w:tl2br w:val="nil"/>
                    <w:tr2bl w:val="nil"/>
                  </w:tcBorders>
                  <w:vAlign w:val="center"/>
                </w:tcPr>
                <w:p>
                  <w:pPr>
                    <w:pStyle w:val="3"/>
                    <w:keepNext w:val="0"/>
                    <w:keepLines w:val="0"/>
                    <w:pageBreakBefore w:val="0"/>
                    <w:kinsoku/>
                    <w:wordWrap/>
                    <w:overflowPunct/>
                    <w:topLinePunct w:val="0"/>
                    <w:autoSpaceDE w:val="0"/>
                    <w:autoSpaceDN w:val="0"/>
                    <w:bidi w:val="0"/>
                    <w:adjustRightInd/>
                    <w:snapToGrid w:val="0"/>
                    <w:jc w:val="center"/>
                    <w:textAlignment w:val="auto"/>
                    <w:rPr>
                      <w:rFonts w:hint="eastAsia"/>
                      <w:vertAlign w:val="baseline"/>
                      <w:lang w:val="en-US" w:eastAsia="zh-CN"/>
                    </w:rPr>
                  </w:pPr>
                </w:p>
              </w:tc>
              <w:tc>
                <w:tcPr>
                  <w:tcW w:w="834"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ind w:firstLine="210" w:firstLineChars="10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颗粒物</w:t>
                  </w:r>
                </w:p>
              </w:tc>
              <w:tc>
                <w:tcPr>
                  <w:tcW w:w="683"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20</w:t>
                  </w:r>
                </w:p>
              </w:tc>
              <w:tc>
                <w:tcPr>
                  <w:tcW w:w="1155"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000000"/>
                      <w:kern w:val="0"/>
                      <w:sz w:val="21"/>
                      <w:szCs w:val="21"/>
                      <w:highlight w:val="none"/>
                      <w:lang w:val="en-US" w:eastAsia="zh-CN"/>
                    </w:rPr>
                    <w:t>&lt;20</w:t>
                  </w:r>
                </w:p>
              </w:tc>
              <w:tc>
                <w:tcPr>
                  <w:tcW w:w="115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vertAlign w:val="baseline"/>
                      <w:lang w:val="en-US" w:eastAsia="zh-CN"/>
                    </w:rPr>
                  </w:pPr>
                  <w:r>
                    <w:rPr>
                      <w:rFonts w:hint="eastAsia" w:ascii="宋体" w:hAnsi="宋体" w:eastAsia="宋体" w:cs="宋体"/>
                      <w:color w:val="000000"/>
                      <w:kern w:val="0"/>
                      <w:sz w:val="21"/>
                      <w:szCs w:val="21"/>
                      <w:highlight w:val="none"/>
                      <w:lang w:val="en-US" w:eastAsia="zh-CN"/>
                    </w:rPr>
                    <w:t>&lt;20</w:t>
                  </w:r>
                </w:p>
              </w:tc>
              <w:tc>
                <w:tcPr>
                  <w:tcW w:w="1170"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vertAlign w:val="baseline"/>
                      <w:lang w:val="en-US" w:eastAsia="zh-CN"/>
                    </w:rPr>
                  </w:pPr>
                  <w:r>
                    <w:rPr>
                      <w:rFonts w:hint="eastAsia" w:ascii="宋体" w:hAnsi="宋体" w:eastAsia="宋体" w:cs="宋体"/>
                      <w:color w:val="000000"/>
                      <w:kern w:val="0"/>
                      <w:sz w:val="21"/>
                      <w:szCs w:val="21"/>
                      <w:highlight w:val="none"/>
                      <w:lang w:val="en-US" w:eastAsia="zh-CN"/>
                    </w:rPr>
                    <w:t>&lt;20</w:t>
                  </w:r>
                </w:p>
              </w:tc>
            </w:tr>
          </w:tbl>
          <w:p>
            <w:pPr>
              <w:pStyle w:val="2"/>
              <w:keepNext w:val="0"/>
              <w:keepLines w:val="0"/>
              <w:pageBreakBefore w:val="0"/>
              <w:widowControl w:val="0"/>
              <w:kinsoku/>
              <w:wordWrap/>
              <w:overflowPunct/>
              <w:topLinePunct w:val="0"/>
              <w:autoSpaceDE w:val="0"/>
              <w:autoSpaceDN w:val="0"/>
              <w:bidi w:val="0"/>
              <w:adjustRightInd/>
              <w:snapToGrid/>
              <w:spacing w:line="360" w:lineRule="auto"/>
              <w:ind w:firstLine="696" w:firstLineChars="300"/>
              <w:jc w:val="both"/>
              <w:textAlignment w:val="auto"/>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auto"/>
                <w:spacing w:val="-4"/>
                <w:sz w:val="24"/>
                <w:szCs w:val="24"/>
                <w:lang w:val="en-US" w:eastAsia="zh-CN"/>
              </w:rPr>
              <w:t>监测结果表明：</w:t>
            </w:r>
            <w:r>
              <w:rPr>
                <w:rFonts w:hint="eastAsia" w:ascii="宋体" w:hAnsi="宋体" w:eastAsia="宋体" w:cs="宋体"/>
                <w:color w:val="000000"/>
                <w:kern w:val="0"/>
                <w:sz w:val="24"/>
                <w:szCs w:val="24"/>
                <w:highlight w:val="none"/>
                <w:lang w:val="en-US" w:eastAsia="zh-CN"/>
              </w:rPr>
              <w:t>VOCs热氧处理系统装置处理后尾气排气筒（进口1）</w:t>
            </w:r>
            <w:r>
              <w:rPr>
                <w:rFonts w:hint="eastAsia" w:ascii="宋体" w:hAnsi="宋体" w:eastAsia="宋体" w:cs="宋体"/>
                <w:color w:val="auto"/>
                <w:spacing w:val="-4"/>
                <w:sz w:val="24"/>
                <w:szCs w:val="24"/>
                <w:lang w:val="en-US" w:eastAsia="zh-CN"/>
              </w:rPr>
              <w:t>中苯、甲苯、二甲苯、非甲烷总烃</w:t>
            </w:r>
            <w:r>
              <w:rPr>
                <w:rFonts w:hint="eastAsia" w:ascii="宋体" w:hAnsi="宋体" w:eastAsia="宋体" w:cs="宋体"/>
                <w:color w:val="auto"/>
                <w:spacing w:val="-4"/>
                <w:sz w:val="24"/>
                <w:szCs w:val="24"/>
                <w:vertAlign w:val="baseline"/>
                <w:lang w:val="en-US" w:eastAsia="zh-CN"/>
              </w:rPr>
              <w:t>的最大浓度分别为1.264</w:t>
            </w:r>
            <w:r>
              <w:rPr>
                <w:rFonts w:hint="eastAsia" w:ascii="宋体" w:hAnsi="宋体" w:eastAsia="宋体" w:cs="宋体"/>
                <w:color w:val="auto"/>
                <w:spacing w:val="-4"/>
                <w:sz w:val="24"/>
                <w:szCs w:val="24"/>
                <w:lang w:val="en-US" w:eastAsia="zh-CN"/>
              </w:rPr>
              <w:t>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vertAlign w:val="baseline"/>
                <w:lang w:val="en-US" w:eastAsia="zh-CN"/>
              </w:rPr>
              <w:t>、2.054</w:t>
            </w:r>
            <w:r>
              <w:rPr>
                <w:rFonts w:hint="eastAsia" w:ascii="宋体" w:hAnsi="宋体" w:eastAsia="宋体" w:cs="宋体"/>
                <w:color w:val="auto"/>
                <w:spacing w:val="-4"/>
                <w:sz w:val="24"/>
                <w:szCs w:val="24"/>
                <w:lang w:val="en-US" w:eastAsia="zh-CN"/>
              </w:rPr>
              <w:t>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vertAlign w:val="baseline"/>
                <w:lang w:val="en-US" w:eastAsia="zh-CN"/>
              </w:rPr>
              <w:t>、2.68</w:t>
            </w:r>
            <w:r>
              <w:rPr>
                <w:rFonts w:hint="eastAsia" w:ascii="宋体" w:hAnsi="宋体" w:eastAsia="宋体" w:cs="宋体"/>
                <w:color w:val="auto"/>
                <w:spacing w:val="-4"/>
                <w:sz w:val="24"/>
                <w:szCs w:val="24"/>
                <w:lang w:val="en-US" w:eastAsia="zh-CN"/>
              </w:rPr>
              <w:t>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vertAlign w:val="baseline"/>
                <w:lang w:val="en-US" w:eastAsia="zh-CN"/>
              </w:rPr>
              <w:t>、466</w:t>
            </w:r>
            <w:r>
              <w:rPr>
                <w:rFonts w:hint="eastAsia" w:ascii="宋体" w:hAnsi="宋体" w:eastAsia="宋体" w:cs="宋体"/>
                <w:color w:val="auto"/>
                <w:spacing w:val="-4"/>
                <w:sz w:val="24"/>
                <w:szCs w:val="24"/>
                <w:lang w:val="en-US" w:eastAsia="zh-CN"/>
              </w:rPr>
              <w:t>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lang w:val="en-US" w:eastAsia="zh-CN"/>
              </w:rPr>
              <w:t>；</w:t>
            </w:r>
            <w:r>
              <w:rPr>
                <w:rFonts w:hint="eastAsia" w:ascii="宋体" w:hAnsi="宋体" w:eastAsia="宋体" w:cs="宋体"/>
                <w:color w:val="000000"/>
                <w:kern w:val="0"/>
                <w:sz w:val="24"/>
                <w:szCs w:val="24"/>
                <w:highlight w:val="none"/>
                <w:lang w:val="en-US" w:eastAsia="zh-CN"/>
              </w:rPr>
              <w:t>VOCs热氧处理系统装置处理后尾气排气筒2（进口2）</w:t>
            </w:r>
            <w:r>
              <w:rPr>
                <w:rFonts w:hint="eastAsia" w:ascii="宋体" w:hAnsi="宋体" w:eastAsia="宋体" w:cs="宋体"/>
                <w:color w:val="auto"/>
                <w:spacing w:val="-4"/>
                <w:sz w:val="24"/>
                <w:szCs w:val="24"/>
                <w:lang w:val="en-US" w:eastAsia="zh-CN"/>
              </w:rPr>
              <w:t>苯、甲苯、二甲苯、非甲烷总烃</w:t>
            </w:r>
            <w:r>
              <w:rPr>
                <w:rFonts w:hint="eastAsia" w:ascii="宋体" w:hAnsi="宋体" w:eastAsia="宋体" w:cs="宋体"/>
                <w:color w:val="auto"/>
                <w:spacing w:val="-4"/>
                <w:sz w:val="24"/>
                <w:szCs w:val="24"/>
                <w:vertAlign w:val="baseline"/>
                <w:lang w:val="en-US" w:eastAsia="zh-CN"/>
              </w:rPr>
              <w:t>的最大浓度分别为1.245</w:t>
            </w:r>
            <w:r>
              <w:rPr>
                <w:rFonts w:hint="eastAsia" w:ascii="宋体" w:hAnsi="宋体" w:eastAsia="宋体" w:cs="宋体"/>
                <w:color w:val="auto"/>
                <w:spacing w:val="-4"/>
                <w:sz w:val="24"/>
                <w:szCs w:val="24"/>
                <w:lang w:val="en-US" w:eastAsia="zh-CN"/>
              </w:rPr>
              <w:t>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vertAlign w:val="baseline"/>
                <w:lang w:val="en-US" w:eastAsia="zh-CN"/>
              </w:rPr>
              <w:t>、2.035</w:t>
            </w:r>
            <w:r>
              <w:rPr>
                <w:rFonts w:hint="eastAsia" w:ascii="宋体" w:hAnsi="宋体" w:eastAsia="宋体" w:cs="宋体"/>
                <w:color w:val="auto"/>
                <w:spacing w:val="-4"/>
                <w:sz w:val="24"/>
                <w:szCs w:val="24"/>
                <w:lang w:val="en-US" w:eastAsia="zh-CN"/>
              </w:rPr>
              <w:t>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vertAlign w:val="baseline"/>
                <w:lang w:val="en-US" w:eastAsia="zh-CN"/>
              </w:rPr>
              <w:t>、1.208</w:t>
            </w:r>
            <w:r>
              <w:rPr>
                <w:rFonts w:hint="eastAsia" w:ascii="宋体" w:hAnsi="宋体" w:eastAsia="宋体" w:cs="宋体"/>
                <w:color w:val="auto"/>
                <w:spacing w:val="-4"/>
                <w:sz w:val="24"/>
                <w:szCs w:val="24"/>
                <w:lang w:val="en-US" w:eastAsia="zh-CN"/>
              </w:rPr>
              <w:t>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vertAlign w:val="baseline"/>
                <w:lang w:val="en-US" w:eastAsia="zh-CN"/>
              </w:rPr>
              <w:t>、389</w:t>
            </w:r>
            <w:r>
              <w:rPr>
                <w:rFonts w:hint="eastAsia" w:ascii="宋体" w:hAnsi="宋体" w:eastAsia="宋体" w:cs="宋体"/>
                <w:color w:val="auto"/>
                <w:spacing w:val="-4"/>
                <w:sz w:val="24"/>
                <w:szCs w:val="24"/>
                <w:lang w:val="en-US" w:eastAsia="zh-CN"/>
              </w:rPr>
              <w:t>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lang w:val="en-US" w:eastAsia="zh-CN"/>
              </w:rPr>
              <w:t>。VOCs热氧处理系统装置处理后尾气排气筒出口中苯、甲苯、二甲苯、非甲烷总烃的最大基准排放浓度分别为1.92mg/m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lang w:val="en-US" w:eastAsia="zh-CN"/>
              </w:rPr>
              <w:t>、2.42mg/m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lang w:val="en-US" w:eastAsia="zh-CN"/>
              </w:rPr>
              <w:t>、3.27mg/m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lang w:val="en-US" w:eastAsia="zh-CN"/>
              </w:rPr>
              <w:t>、37.65mg/m</w:t>
            </w:r>
            <w:r>
              <w:rPr>
                <w:rFonts w:hint="eastAsia" w:ascii="宋体" w:hAnsi="宋体" w:eastAsia="宋体" w:cs="宋体"/>
                <w:color w:val="auto"/>
                <w:spacing w:val="-4"/>
                <w:sz w:val="24"/>
                <w:szCs w:val="24"/>
                <w:vertAlign w:val="superscript"/>
                <w:lang w:val="en-US" w:eastAsia="zh-CN"/>
              </w:rPr>
              <w:t>3</w:t>
            </w:r>
            <w:r>
              <w:rPr>
                <w:rFonts w:hint="eastAsia" w:ascii="宋体" w:hAnsi="宋体" w:eastAsia="宋体" w:cs="宋体"/>
                <w:color w:val="auto"/>
                <w:spacing w:val="-4"/>
                <w:sz w:val="24"/>
                <w:szCs w:val="24"/>
                <w:lang w:val="en-US" w:eastAsia="zh-CN"/>
              </w:rPr>
              <w:t>。</w:t>
            </w:r>
            <w:r>
              <w:rPr>
                <w:rFonts w:hint="eastAsia" w:ascii="宋体" w:hAnsi="宋体" w:eastAsia="宋体" w:cs="宋体"/>
                <w:color w:val="auto"/>
                <w:spacing w:val="-4"/>
                <w:sz w:val="24"/>
                <w:szCs w:val="24"/>
                <w:vertAlign w:val="baseline"/>
                <w:lang w:val="en-US" w:eastAsia="zh-CN"/>
              </w:rPr>
              <w:t>根据结果计算得出VOCs热氧尾气系统处理装置主要污染物去除效率分别为</w:t>
            </w:r>
            <w:r>
              <w:rPr>
                <w:rFonts w:hint="eastAsia" w:ascii="宋体" w:hAnsi="宋体" w:eastAsia="宋体" w:cs="宋体"/>
                <w:color w:val="auto"/>
                <w:spacing w:val="-4"/>
                <w:sz w:val="24"/>
                <w:szCs w:val="24"/>
                <w:lang w:val="en-US" w:eastAsia="zh-CN"/>
              </w:rPr>
              <w:t>苯98.5%、甲苯</w:t>
            </w:r>
            <w:r>
              <w:rPr>
                <w:rFonts w:hint="eastAsia" w:ascii="宋体" w:hAnsi="宋体" w:eastAsia="宋体" w:cs="宋体"/>
                <w:color w:val="auto"/>
                <w:kern w:val="0"/>
                <w:sz w:val="24"/>
                <w:szCs w:val="24"/>
                <w:highlight w:val="none"/>
                <w:lang w:val="en-US" w:eastAsia="zh-CN" w:bidi="ar-SA"/>
              </w:rPr>
              <w:t>99.2%</w:t>
            </w:r>
            <w:r>
              <w:rPr>
                <w:rFonts w:hint="eastAsia" w:ascii="宋体" w:hAnsi="宋体" w:eastAsia="宋体" w:cs="宋体"/>
                <w:color w:val="auto"/>
                <w:spacing w:val="-4"/>
                <w:sz w:val="24"/>
                <w:szCs w:val="24"/>
                <w:lang w:val="en-US" w:eastAsia="zh-CN"/>
              </w:rPr>
              <w:t>、二甲苯</w:t>
            </w:r>
            <w:r>
              <w:rPr>
                <w:rFonts w:hint="eastAsia" w:ascii="宋体" w:hAnsi="宋体" w:eastAsia="宋体" w:cs="宋体"/>
                <w:color w:val="auto"/>
                <w:kern w:val="0"/>
                <w:sz w:val="24"/>
                <w:szCs w:val="24"/>
                <w:highlight w:val="none"/>
                <w:lang w:val="en-US" w:eastAsia="zh-CN" w:bidi="ar-SA"/>
              </w:rPr>
              <w:t>97.6%</w:t>
            </w:r>
            <w:r>
              <w:rPr>
                <w:rFonts w:hint="eastAsia" w:ascii="宋体" w:hAnsi="宋体" w:eastAsia="宋体" w:cs="宋体"/>
                <w:color w:val="auto"/>
                <w:spacing w:val="-4"/>
                <w:sz w:val="24"/>
                <w:szCs w:val="24"/>
                <w:lang w:val="en-US" w:eastAsia="zh-CN"/>
              </w:rPr>
              <w:t>、非甲烷总烃</w:t>
            </w:r>
            <w:r>
              <w:rPr>
                <w:rFonts w:hint="eastAsia" w:ascii="宋体" w:hAnsi="宋体" w:eastAsia="宋体" w:cs="宋体"/>
                <w:color w:val="auto"/>
                <w:kern w:val="0"/>
                <w:sz w:val="24"/>
                <w:szCs w:val="24"/>
                <w:highlight w:val="none"/>
                <w:lang w:val="en-US" w:eastAsia="zh-CN" w:bidi="ar-SA"/>
              </w:rPr>
              <w:t>99.9%，</w:t>
            </w:r>
            <w:r>
              <w:rPr>
                <w:rFonts w:hint="eastAsia" w:ascii="宋体" w:hAnsi="宋体" w:eastAsia="宋体" w:cs="宋体"/>
                <w:color w:val="000000"/>
                <w:kern w:val="0"/>
                <w:sz w:val="24"/>
                <w:szCs w:val="24"/>
                <w:highlight w:val="none"/>
                <w:lang w:val="en-US" w:eastAsia="zh-CN"/>
              </w:rPr>
              <w:t>装置处理后尾气总排口验收监测期间各监测因子浓度均符合《石油化学工业污染物排放标准》(GB 31571-2015)标准限值。</w:t>
            </w:r>
            <w:bookmarkStart w:id="4" w:name="_Toc14095_WPSOffice_Level2"/>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64" w:firstLineChars="200"/>
              <w:jc w:val="both"/>
              <w:textAlignment w:val="auto"/>
              <w:rPr>
                <w:rFonts w:hint="default" w:ascii="Times New Roman" w:hAnsi="Times New Roman" w:eastAsia="宋体" w:cs="Times New Roman"/>
                <w:b w:val="0"/>
                <w:bCs w:val="0"/>
                <w:color w:val="auto"/>
                <w:spacing w:val="-4"/>
                <w:sz w:val="24"/>
                <w:szCs w:val="24"/>
                <w:lang w:val="en-US" w:eastAsia="zh-CN"/>
              </w:rPr>
            </w:pPr>
            <w:bookmarkStart w:id="5" w:name="_Toc31091"/>
            <w:r>
              <w:rPr>
                <w:rFonts w:hint="default" w:ascii="Times New Roman" w:hAnsi="Times New Roman" w:eastAsia="宋体" w:cs="Times New Roman"/>
                <w:b w:val="0"/>
                <w:bCs w:val="0"/>
                <w:color w:val="auto"/>
                <w:spacing w:val="-4"/>
                <w:sz w:val="24"/>
                <w:szCs w:val="24"/>
                <w:lang w:val="en-US" w:eastAsia="zh-CN"/>
              </w:rPr>
              <w:t>无组织排放</w:t>
            </w:r>
            <w:bookmarkEnd w:id="4"/>
            <w:bookmarkEnd w:id="5"/>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both"/>
              <w:textAlignment w:val="auto"/>
              <w:rPr>
                <w:rFonts w:hint="eastAsia" w:ascii="宋体" w:hAnsi="宋体" w:eastAsia="宋体" w:cs="宋体"/>
                <w:color w:val="auto"/>
                <w:spacing w:val="-4"/>
                <w:sz w:val="24"/>
                <w:szCs w:val="24"/>
                <w:lang w:val="en-US" w:eastAsia="zh-CN"/>
              </w:rPr>
            </w:pPr>
            <w:r>
              <w:rPr>
                <w:rFonts w:hint="eastAsia" w:ascii="宋体" w:hAnsi="宋体" w:eastAsia="宋体" w:cs="宋体"/>
                <w:color w:val="auto"/>
                <w:spacing w:val="-4"/>
                <w:sz w:val="24"/>
                <w:szCs w:val="24"/>
                <w:lang w:val="en-US" w:eastAsia="zh-CN"/>
              </w:rPr>
              <w:t>废气无组织排放监测期间气象参数见表19、监测结果见表20。</w:t>
            </w:r>
          </w:p>
          <w:p>
            <w:pPr>
              <w:spacing w:line="360" w:lineRule="auto"/>
              <w:jc w:val="center"/>
              <w:rPr>
                <w:rFonts w:hint="default" w:ascii="Times New Roman" w:hAnsi="Times New Roman" w:eastAsia="宋体" w:cs="Times New Roman"/>
                <w:b/>
                <w:bCs/>
                <w:sz w:val="21"/>
                <w:szCs w:val="21"/>
                <w:lang w:val="en-US" w:eastAsia="zh-CN"/>
              </w:rPr>
            </w:pPr>
            <w:bookmarkStart w:id="6" w:name="_Toc27409_WPSOffice_Level3"/>
            <w:r>
              <w:rPr>
                <w:rFonts w:hint="default" w:ascii="Times New Roman" w:hAnsi="Times New Roman" w:eastAsia="宋体" w:cs="Times New Roman"/>
                <w:b/>
                <w:bCs/>
                <w:sz w:val="21"/>
                <w:szCs w:val="21"/>
                <w:lang w:val="en-US" w:eastAsia="zh-CN"/>
              </w:rPr>
              <w:t>表</w:t>
            </w:r>
            <w:r>
              <w:rPr>
                <w:rFonts w:hint="eastAsia" w:ascii="Times New Roman" w:hAnsi="Times New Roman" w:eastAsia="宋体" w:cs="Times New Roman"/>
                <w:b/>
                <w:bCs/>
                <w:sz w:val="21"/>
                <w:szCs w:val="21"/>
                <w:lang w:val="en-US" w:eastAsia="zh-CN"/>
              </w:rPr>
              <w:t>19</w:t>
            </w:r>
            <w:r>
              <w:rPr>
                <w:rFonts w:hint="default" w:ascii="Times New Roman" w:hAnsi="Times New Roman" w:eastAsia="宋体" w:cs="Times New Roman"/>
                <w:b/>
                <w:bCs/>
                <w:sz w:val="21"/>
                <w:szCs w:val="21"/>
                <w:lang w:val="en-US" w:eastAsia="zh-CN"/>
              </w:rPr>
              <w:t xml:space="preserve">  厂区无组织监测期间气象参数</w:t>
            </w:r>
            <w:bookmarkEnd w:id="6"/>
          </w:p>
          <w:tbl>
            <w:tblPr>
              <w:tblStyle w:val="1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71"/>
              <w:gridCol w:w="1772"/>
              <w:gridCol w:w="1772"/>
              <w:gridCol w:w="1772"/>
              <w:gridCol w:w="157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检测时间</w:t>
                  </w:r>
                </w:p>
              </w:tc>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环境温度</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kern w:val="0"/>
                      <w:sz w:val="21"/>
                      <w:szCs w:val="21"/>
                      <w:lang w:val="en-US" w:eastAsia="en-US" w:bidi="ar-SA"/>
                    </w:rPr>
                  </w:pPr>
                  <w:r>
                    <w:rPr>
                      <w:rFonts w:hint="eastAsia" w:ascii="宋体" w:hAnsi="宋体" w:eastAsia="宋体" w:cs="宋体"/>
                      <w:b/>
                      <w:bCs/>
                      <w:color w:val="auto"/>
                      <w:sz w:val="21"/>
                      <w:szCs w:val="21"/>
                    </w:rPr>
                    <w:t>（℃）</w:t>
                  </w:r>
                </w:p>
              </w:tc>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环境</w:t>
                  </w:r>
                  <w:r>
                    <w:rPr>
                      <w:rFonts w:hint="eastAsia" w:ascii="宋体" w:hAnsi="宋体" w:eastAsia="宋体" w:cs="宋体"/>
                      <w:b/>
                      <w:bCs/>
                      <w:color w:val="auto"/>
                      <w:sz w:val="21"/>
                      <w:szCs w:val="21"/>
                      <w:lang w:eastAsia="zh-CN"/>
                    </w:rPr>
                    <w:t>湿</w:t>
                  </w:r>
                  <w:r>
                    <w:rPr>
                      <w:rFonts w:hint="eastAsia" w:ascii="宋体" w:hAnsi="宋体" w:eastAsia="宋体" w:cs="宋体"/>
                      <w:b/>
                      <w:bCs/>
                      <w:color w:val="auto"/>
                      <w:sz w:val="21"/>
                      <w:szCs w:val="21"/>
                    </w:rPr>
                    <w:t>度</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w:t>
                  </w:r>
                  <w:r>
                    <w:rPr>
                      <w:rFonts w:hint="eastAsia" w:ascii="宋体" w:hAnsi="宋体" w:eastAsia="宋体" w:cs="宋体"/>
                      <w:b/>
                      <w:bCs/>
                      <w:color w:val="auto"/>
                      <w:sz w:val="21"/>
                      <w:szCs w:val="21"/>
                      <w:lang w:val="en-US" w:eastAsia="zh-CN"/>
                    </w:rPr>
                    <w:t>%</w:t>
                  </w:r>
                  <w:r>
                    <w:rPr>
                      <w:rFonts w:hint="eastAsia" w:ascii="宋体" w:hAnsi="宋体" w:eastAsia="宋体" w:cs="宋体"/>
                      <w:b/>
                      <w:bCs/>
                      <w:color w:val="auto"/>
                      <w:sz w:val="21"/>
                      <w:szCs w:val="21"/>
                    </w:rPr>
                    <w:t>）</w:t>
                  </w:r>
                </w:p>
              </w:tc>
              <w:tc>
                <w:tcPr>
                  <w:tcW w:w="1022"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环境气压</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（kPa）</w:t>
                  </w:r>
                </w:p>
              </w:tc>
              <w:tc>
                <w:tcPr>
                  <w:tcW w:w="910"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风速</w:t>
                  </w:r>
                </w:p>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9.23</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22.3</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73</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100.6</w:t>
                  </w:r>
                </w:p>
              </w:tc>
              <w:tc>
                <w:tcPr>
                  <w:tcW w:w="91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20</w:t>
                  </w:r>
                  <w:r>
                    <w:rPr>
                      <w:rFonts w:hint="eastAsia" w:ascii="宋体" w:hAnsi="宋体" w:eastAsia="宋体" w:cs="宋体"/>
                      <w:color w:val="auto"/>
                      <w:sz w:val="21"/>
                      <w:szCs w:val="21"/>
                      <w:lang w:val="en-US" w:eastAsia="zh-CN"/>
                    </w:rPr>
                    <w:t>20</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9.24</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highlight w:val="none"/>
                      <w:lang w:val="en-US" w:eastAsia="zh-CN"/>
                    </w:rPr>
                    <w:t>22.3</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69</w:t>
                  </w:r>
                </w:p>
              </w:tc>
              <w:tc>
                <w:tcPr>
                  <w:tcW w:w="102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highlight w:val="none"/>
                      <w:lang w:val="en-US" w:eastAsia="zh-CN"/>
                    </w:rPr>
                    <w:t>100.6</w:t>
                  </w:r>
                </w:p>
              </w:tc>
              <w:tc>
                <w:tcPr>
                  <w:tcW w:w="910"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1.0</w:t>
                  </w:r>
                </w:p>
              </w:tc>
            </w:tr>
          </w:tbl>
          <w:p>
            <w:pPr>
              <w:spacing w:line="360" w:lineRule="auto"/>
              <w:jc w:val="center"/>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表20  厂区无组织排放监测结果</w:t>
            </w:r>
          </w:p>
          <w:tbl>
            <w:tblPr>
              <w:tblStyle w:val="17"/>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1322"/>
              <w:gridCol w:w="959"/>
              <w:gridCol w:w="931"/>
              <w:gridCol w:w="1169"/>
              <w:gridCol w:w="1169"/>
              <w:gridCol w:w="1171"/>
              <w:gridCol w:w="10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526"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pacing w:val="-4"/>
                      <w:sz w:val="21"/>
                      <w:szCs w:val="21"/>
                      <w:vertAlign w:val="baseline"/>
                      <w:lang w:val="en-US" w:eastAsia="zh-CN"/>
                    </w:rPr>
                  </w:pPr>
                  <w:r>
                    <w:rPr>
                      <w:rFonts w:hint="eastAsia" w:ascii="宋体" w:hAnsi="宋体" w:eastAsia="宋体" w:cs="宋体"/>
                      <w:b/>
                      <w:bCs/>
                      <w:color w:val="auto"/>
                      <w:spacing w:val="-4"/>
                      <w:sz w:val="21"/>
                      <w:szCs w:val="21"/>
                      <w:vertAlign w:val="baseline"/>
                      <w:lang w:val="en-US" w:eastAsia="zh-CN"/>
                    </w:rPr>
                    <w:t>监测点位</w:t>
                  </w:r>
                </w:p>
              </w:tc>
              <w:tc>
                <w:tcPr>
                  <w:tcW w:w="762"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pacing w:val="-4"/>
                      <w:sz w:val="21"/>
                      <w:szCs w:val="21"/>
                      <w:vertAlign w:val="baseline"/>
                      <w:lang w:val="en-US" w:eastAsia="zh-CN"/>
                    </w:rPr>
                  </w:pPr>
                  <w:r>
                    <w:rPr>
                      <w:rFonts w:hint="eastAsia" w:ascii="宋体" w:hAnsi="宋体" w:eastAsia="宋体" w:cs="宋体"/>
                      <w:b/>
                      <w:bCs/>
                      <w:color w:val="auto"/>
                      <w:spacing w:val="-4"/>
                      <w:sz w:val="21"/>
                      <w:szCs w:val="21"/>
                      <w:vertAlign w:val="baseline"/>
                      <w:lang w:val="en-US" w:eastAsia="zh-CN"/>
                    </w:rPr>
                    <w:t>监测日期</w:t>
                  </w:r>
                </w:p>
              </w:tc>
              <w:tc>
                <w:tcPr>
                  <w:tcW w:w="552"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pacing w:val="-4"/>
                      <w:sz w:val="21"/>
                      <w:szCs w:val="21"/>
                      <w:vertAlign w:val="baseline"/>
                      <w:lang w:val="en-US" w:eastAsia="zh-CN"/>
                    </w:rPr>
                  </w:pPr>
                  <w:r>
                    <w:rPr>
                      <w:rFonts w:hint="eastAsia" w:ascii="宋体" w:hAnsi="宋体" w:eastAsia="宋体" w:cs="宋体"/>
                      <w:b/>
                      <w:bCs/>
                      <w:color w:val="auto"/>
                      <w:spacing w:val="-4"/>
                      <w:sz w:val="21"/>
                      <w:szCs w:val="21"/>
                      <w:vertAlign w:val="baseline"/>
                      <w:lang w:val="en-US" w:eastAsia="zh-CN"/>
                    </w:rPr>
                    <w:t>监测频次</w:t>
                  </w:r>
                </w:p>
              </w:tc>
              <w:tc>
                <w:tcPr>
                  <w:tcW w:w="537" w:type="pct"/>
                  <w:vMerge w:val="restar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pacing w:val="-4"/>
                      <w:sz w:val="21"/>
                      <w:szCs w:val="21"/>
                      <w:vertAlign w:val="baseline"/>
                      <w:lang w:val="en-US" w:eastAsia="zh-CN"/>
                    </w:rPr>
                  </w:pPr>
                  <w:r>
                    <w:rPr>
                      <w:rFonts w:hint="eastAsia" w:ascii="宋体" w:hAnsi="宋体" w:eastAsia="宋体" w:cs="宋体"/>
                      <w:b/>
                      <w:bCs/>
                      <w:color w:val="auto"/>
                      <w:spacing w:val="-4"/>
                      <w:sz w:val="21"/>
                      <w:szCs w:val="21"/>
                      <w:vertAlign w:val="baseline"/>
                      <w:lang w:val="en-US" w:eastAsia="zh-CN"/>
                    </w:rPr>
                    <w:t>单位</w:t>
                  </w:r>
                </w:p>
              </w:tc>
              <w:tc>
                <w:tcPr>
                  <w:tcW w:w="2620" w:type="pct"/>
                  <w:gridSpan w:val="4"/>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pacing w:val="-4"/>
                      <w:sz w:val="21"/>
                      <w:szCs w:val="21"/>
                      <w:vertAlign w:val="baseline"/>
                      <w:lang w:val="en-US" w:eastAsia="zh-CN"/>
                    </w:rPr>
                  </w:pPr>
                  <w:r>
                    <w:rPr>
                      <w:rFonts w:hint="eastAsia" w:ascii="宋体" w:hAnsi="宋体" w:eastAsia="宋体" w:cs="宋体"/>
                      <w:b/>
                      <w:bCs/>
                      <w:color w:val="auto"/>
                      <w:spacing w:val="-4"/>
                      <w:sz w:val="21"/>
                      <w:szCs w:val="21"/>
                      <w:vertAlign w:val="baseline"/>
                      <w:lang w:val="en-US" w:eastAsia="zh-CN"/>
                    </w:rPr>
                    <w:t>监测项目及结果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526"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z w:val="21"/>
                      <w:szCs w:val="21"/>
                    </w:rPr>
                  </w:pPr>
                </w:p>
              </w:tc>
              <w:tc>
                <w:tcPr>
                  <w:tcW w:w="762"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z w:val="21"/>
                      <w:szCs w:val="21"/>
                    </w:rPr>
                  </w:pPr>
                </w:p>
              </w:tc>
              <w:tc>
                <w:tcPr>
                  <w:tcW w:w="552"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z w:val="21"/>
                      <w:szCs w:val="21"/>
                    </w:rPr>
                  </w:pPr>
                </w:p>
              </w:tc>
              <w:tc>
                <w:tcPr>
                  <w:tcW w:w="537" w:type="pct"/>
                  <w:vMerge w:val="continue"/>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z w:val="21"/>
                      <w:szCs w:val="21"/>
                    </w:rPr>
                  </w:pPr>
                </w:p>
              </w:tc>
              <w:tc>
                <w:tcPr>
                  <w:tcW w:w="674"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pacing w:val="-4"/>
                      <w:sz w:val="21"/>
                      <w:szCs w:val="21"/>
                      <w:vertAlign w:val="baseline"/>
                      <w:lang w:val="en-US" w:eastAsia="zh-CN"/>
                    </w:rPr>
                  </w:pPr>
                  <w:r>
                    <w:rPr>
                      <w:rFonts w:hint="eastAsia" w:ascii="宋体" w:hAnsi="宋体" w:eastAsia="宋体" w:cs="宋体"/>
                      <w:b/>
                      <w:bCs/>
                      <w:color w:val="auto"/>
                      <w:spacing w:val="-4"/>
                      <w:sz w:val="21"/>
                      <w:szCs w:val="21"/>
                      <w:vertAlign w:val="baseline"/>
                      <w:lang w:val="en-US" w:eastAsia="zh-CN"/>
                    </w:rPr>
                    <w:t>苯</w:t>
                  </w:r>
                </w:p>
              </w:tc>
              <w:tc>
                <w:tcPr>
                  <w:tcW w:w="674"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pacing w:val="-4"/>
                      <w:sz w:val="21"/>
                      <w:szCs w:val="21"/>
                      <w:vertAlign w:val="baseline"/>
                      <w:lang w:val="en-US" w:eastAsia="zh-CN"/>
                    </w:rPr>
                  </w:pPr>
                  <w:r>
                    <w:rPr>
                      <w:rFonts w:hint="eastAsia" w:ascii="宋体" w:hAnsi="宋体" w:eastAsia="宋体" w:cs="宋体"/>
                      <w:b/>
                      <w:bCs/>
                      <w:color w:val="auto"/>
                      <w:spacing w:val="-4"/>
                      <w:sz w:val="21"/>
                      <w:szCs w:val="21"/>
                      <w:vertAlign w:val="baseline"/>
                      <w:lang w:val="en-US" w:eastAsia="zh-CN"/>
                    </w:rPr>
                    <w:t>甲苯</w:t>
                  </w:r>
                </w:p>
              </w:tc>
              <w:tc>
                <w:tcPr>
                  <w:tcW w:w="675"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pacing w:val="-4"/>
                      <w:sz w:val="21"/>
                      <w:szCs w:val="21"/>
                      <w:vertAlign w:val="baseline"/>
                      <w:lang w:val="en-US" w:eastAsia="zh-CN"/>
                    </w:rPr>
                  </w:pPr>
                  <w:r>
                    <w:rPr>
                      <w:rFonts w:hint="eastAsia" w:ascii="宋体" w:hAnsi="宋体" w:eastAsia="宋体" w:cs="宋体"/>
                      <w:b/>
                      <w:bCs/>
                      <w:color w:val="auto"/>
                      <w:spacing w:val="-4"/>
                      <w:sz w:val="21"/>
                      <w:szCs w:val="21"/>
                      <w:vertAlign w:val="baseline"/>
                      <w:lang w:val="en-US" w:eastAsia="zh-CN"/>
                    </w:rPr>
                    <w:t>二甲苯</w:t>
                  </w:r>
                </w:p>
              </w:tc>
              <w:tc>
                <w:tcPr>
                  <w:tcW w:w="595" w:type="pct"/>
                  <w:tcBorders>
                    <w:tl2br w:val="nil"/>
                    <w:tr2bl w:val="nil"/>
                  </w:tcBorders>
                  <w:shd w:val="clear" w:color="auto" w:fill="D7D7D7" w:themeFill="background1" w:themeFillShade="D8"/>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b/>
                      <w:bCs/>
                      <w:color w:val="auto"/>
                      <w:spacing w:val="-4"/>
                      <w:sz w:val="21"/>
                      <w:szCs w:val="21"/>
                      <w:vertAlign w:val="baseline"/>
                      <w:lang w:val="en-US" w:eastAsia="zh-CN"/>
                    </w:rPr>
                  </w:pPr>
                  <w:r>
                    <w:rPr>
                      <w:rFonts w:hint="eastAsia" w:ascii="宋体" w:hAnsi="宋体" w:eastAsia="宋体" w:cs="宋体"/>
                      <w:b/>
                      <w:bCs/>
                      <w:kern w:val="0"/>
                      <w:sz w:val="21"/>
                      <w:szCs w:val="21"/>
                      <w:highlight w:val="none"/>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kern w:val="0"/>
                      <w:sz w:val="21"/>
                      <w:szCs w:val="21"/>
                      <w:highlight w:val="none"/>
                      <w:lang w:val="en-US" w:eastAsia="zh-CN"/>
                    </w:rPr>
                    <w:t>下风向1号点</w:t>
                  </w:r>
                </w:p>
              </w:tc>
              <w:tc>
                <w:tcPr>
                  <w:tcW w:w="762"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2020.9.23</w:t>
                  </w: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第1次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0.106</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0.026</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第2次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0.015</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0.0091</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3.08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第3次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0.026</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0.189</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000000"/>
                      <w:kern w:val="0"/>
                      <w:sz w:val="21"/>
                      <w:szCs w:val="21"/>
                      <w:highlight w:val="none"/>
                      <w:lang w:val="en-US" w:eastAsia="zh-CN"/>
                    </w:rPr>
                    <w:t>5×10</w:t>
                  </w:r>
                  <w:r>
                    <w:rPr>
                      <w:rFonts w:hint="eastAsia" w:ascii="宋体" w:hAnsi="宋体" w:eastAsia="宋体" w:cs="宋体"/>
                      <w:color w:val="000000"/>
                      <w:kern w:val="0"/>
                      <w:sz w:val="21"/>
                      <w:szCs w:val="21"/>
                      <w:highlight w:val="none"/>
                      <w:vertAlign w:val="superscript"/>
                      <w:lang w:val="en-US" w:eastAsia="zh-CN"/>
                    </w:rPr>
                    <w:t>-4</w:t>
                  </w:r>
                  <w:r>
                    <w:rPr>
                      <w:rFonts w:hint="eastAsia" w:ascii="宋体" w:hAnsi="宋体" w:eastAsia="宋体" w:cs="宋体"/>
                      <w:color w:val="000000"/>
                      <w:kern w:val="0"/>
                      <w:sz w:val="21"/>
                      <w:szCs w:val="21"/>
                      <w:highlight w:val="none"/>
                      <w:vertAlign w:val="baseline"/>
                      <w:lang w:val="en-US" w:eastAsia="zh-CN"/>
                    </w:rPr>
                    <w:t>(L)</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3.15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2020.9.24</w:t>
                  </w: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第1次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0.026</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0.651</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第2次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0.009</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0.008</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第3次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kern w:val="0"/>
                      <w:sz w:val="21"/>
                      <w:szCs w:val="21"/>
                      <w:highlight w:val="none"/>
                      <w:lang w:val="en-US" w:eastAsia="zh-CN"/>
                    </w:rPr>
                    <w:t>下风向2号点</w:t>
                  </w:r>
                </w:p>
              </w:tc>
              <w:tc>
                <w:tcPr>
                  <w:tcW w:w="762"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spacing w:val="-4"/>
                      <w:sz w:val="21"/>
                      <w:szCs w:val="21"/>
                      <w:vertAlign w:val="baseline"/>
                      <w:lang w:val="en-US" w:eastAsia="zh-CN"/>
                    </w:rPr>
                    <w:t>2020.9.23</w:t>
                  </w: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第1次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0.021</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0.065</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0.016</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3.05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第2次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0.056</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0.126</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0.265</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第3次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0.023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0.089</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2020.9.24</w:t>
                  </w: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第1次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0.013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0.031</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2.81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第2次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0.043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0.009</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第3次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0.075</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0.025</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kern w:val="0"/>
                      <w:sz w:val="21"/>
                      <w:szCs w:val="21"/>
                      <w:highlight w:val="none"/>
                      <w:lang w:val="en-US" w:eastAsia="zh-CN"/>
                    </w:rPr>
                    <w:t>下风向3号点</w:t>
                  </w:r>
                </w:p>
              </w:tc>
              <w:tc>
                <w:tcPr>
                  <w:tcW w:w="762"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spacing w:val="-4"/>
                      <w:sz w:val="21"/>
                      <w:szCs w:val="21"/>
                      <w:vertAlign w:val="baseline"/>
                      <w:lang w:val="en-US" w:eastAsia="zh-CN"/>
                    </w:rPr>
                    <w:t>2020.9.23</w:t>
                  </w: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第1次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0.048</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0.123</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0.039</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第2次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0.021</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0.064</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第3次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0.0006</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0.005</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2020.9.24</w:t>
                  </w: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第1次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0.009</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5×10</w:t>
                  </w:r>
                  <w:r>
                    <w:rPr>
                      <w:rFonts w:hint="eastAsia" w:ascii="宋体" w:hAnsi="宋体" w:eastAsia="宋体" w:cs="宋体"/>
                      <w:color w:val="auto"/>
                      <w:kern w:val="0"/>
                      <w:sz w:val="21"/>
                      <w:szCs w:val="21"/>
                      <w:highlight w:val="none"/>
                      <w:vertAlign w:val="superscript"/>
                      <w:lang w:val="en-US" w:eastAsia="zh-CN"/>
                    </w:rPr>
                    <w:t>-4</w:t>
                  </w:r>
                  <w:r>
                    <w:rPr>
                      <w:rFonts w:hint="eastAsia" w:ascii="宋体" w:hAnsi="宋体" w:eastAsia="宋体" w:cs="宋体"/>
                      <w:color w:val="auto"/>
                      <w:kern w:val="0"/>
                      <w:sz w:val="21"/>
                      <w:szCs w:val="21"/>
                      <w:highlight w:val="none"/>
                      <w:vertAlign w:val="baseline"/>
                      <w:lang w:val="en-US" w:eastAsia="zh-CN"/>
                    </w:rPr>
                    <w:t>(L)</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0.006</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第2次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0.116</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kern w:val="0"/>
                      <w:sz w:val="21"/>
                      <w:szCs w:val="21"/>
                      <w:highlight w:val="none"/>
                      <w:lang w:val="en-US" w:eastAsia="zh-CN"/>
                    </w:rPr>
                    <w:t>0.021</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000000"/>
                      <w:kern w:val="0"/>
                      <w:sz w:val="21"/>
                      <w:szCs w:val="21"/>
                      <w:highlight w:val="none"/>
                      <w:lang w:val="en-US" w:eastAsia="zh-CN"/>
                    </w:rPr>
                    <w:t>0.060</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26"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762" w:type="pct"/>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p>
              </w:tc>
              <w:tc>
                <w:tcPr>
                  <w:tcW w:w="552"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color w:val="auto"/>
                      <w:spacing w:val="-4"/>
                      <w:sz w:val="21"/>
                      <w:szCs w:val="21"/>
                      <w:vertAlign w:val="baseline"/>
                      <w:lang w:val="en-US" w:eastAsia="zh-CN"/>
                    </w:rPr>
                    <w:t>第3次</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0.010</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0.026</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0.088</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2.89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41" w:type="pct"/>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最大值</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0.075</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rPr>
                  </w:pPr>
                  <w:r>
                    <w:rPr>
                      <w:rFonts w:hint="eastAsia" w:ascii="宋体" w:hAnsi="宋体" w:eastAsia="宋体" w:cs="宋体"/>
                      <w:color w:val="auto"/>
                      <w:kern w:val="0"/>
                      <w:sz w:val="21"/>
                      <w:szCs w:val="21"/>
                      <w:highlight w:val="none"/>
                      <w:lang w:val="en-US" w:eastAsia="zh-CN"/>
                    </w:rPr>
                    <w:t>0.189</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0.265</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41" w:type="pct"/>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标准限值</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0.4</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0.8</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0.8</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41" w:type="pct"/>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是否达标</w:t>
                  </w:r>
                </w:p>
              </w:tc>
              <w:tc>
                <w:tcPr>
                  <w:tcW w:w="537"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kern w:val="2"/>
                      <w:sz w:val="21"/>
                      <w:szCs w:val="21"/>
                      <w:vertAlign w:val="baseline"/>
                      <w:lang w:val="en-US" w:eastAsia="zh-CN" w:bidi="ar-SA"/>
                    </w:rPr>
                  </w:pPr>
                  <w:r>
                    <w:rPr>
                      <w:rFonts w:hint="eastAsia" w:ascii="宋体" w:hAnsi="宋体" w:eastAsia="宋体" w:cs="宋体"/>
                      <w:bCs/>
                      <w:color w:val="auto"/>
                      <w:sz w:val="21"/>
                      <w:szCs w:val="21"/>
                    </w:rPr>
                    <w:t>mg/m</w:t>
                  </w:r>
                  <w:r>
                    <w:rPr>
                      <w:rFonts w:hint="eastAsia" w:ascii="宋体" w:hAnsi="宋体" w:eastAsia="宋体" w:cs="宋体"/>
                      <w:bCs/>
                      <w:color w:val="auto"/>
                      <w:sz w:val="21"/>
                      <w:szCs w:val="21"/>
                      <w:vertAlign w:val="superscript"/>
                    </w:rPr>
                    <w:t>3</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lang w:val="en-US" w:eastAsia="zh-CN"/>
                    </w:rPr>
                  </w:pPr>
                  <w:r>
                    <w:rPr>
                      <w:rFonts w:hint="eastAsia" w:ascii="宋体" w:hAnsi="宋体" w:eastAsia="宋体" w:cs="宋体"/>
                      <w:color w:val="auto"/>
                      <w:spacing w:val="-4"/>
                      <w:sz w:val="21"/>
                      <w:szCs w:val="21"/>
                      <w:vertAlign w:val="baseline"/>
                      <w:lang w:val="en-US" w:eastAsia="zh-CN"/>
                    </w:rPr>
                    <w:t>达标</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spacing w:val="-4"/>
                      <w:sz w:val="21"/>
                      <w:szCs w:val="21"/>
                      <w:vertAlign w:val="baseline"/>
                      <w:lang w:val="en-US" w:eastAsia="zh-CN"/>
                    </w:rPr>
                    <w:t>达标</w:t>
                  </w:r>
                </w:p>
              </w:tc>
              <w:tc>
                <w:tcPr>
                  <w:tcW w:w="67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spacing w:val="-4"/>
                      <w:sz w:val="21"/>
                      <w:szCs w:val="21"/>
                      <w:vertAlign w:val="baseline"/>
                      <w:lang w:val="en-US" w:eastAsia="zh-CN"/>
                    </w:rPr>
                    <w:t>达标</w:t>
                  </w:r>
                </w:p>
              </w:tc>
              <w:tc>
                <w:tcPr>
                  <w:tcW w:w="595" w:type="pc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pacing w:val="-4"/>
                      <w:sz w:val="21"/>
                      <w:szCs w:val="21"/>
                      <w:vertAlign w:val="baseline"/>
                    </w:rPr>
                  </w:pPr>
                  <w:r>
                    <w:rPr>
                      <w:rFonts w:hint="eastAsia" w:ascii="宋体" w:hAnsi="宋体" w:eastAsia="宋体" w:cs="宋体"/>
                      <w:color w:val="auto"/>
                      <w:spacing w:val="-4"/>
                      <w:sz w:val="21"/>
                      <w:szCs w:val="21"/>
                      <w:vertAlign w:val="baseline"/>
                      <w:lang w:val="en-US" w:eastAsia="zh-CN"/>
                    </w:rPr>
                    <w:t>达标</w:t>
                  </w:r>
                </w:p>
              </w:tc>
            </w:tr>
          </w:tbl>
          <w:p>
            <w:pPr>
              <w:pStyle w:val="2"/>
              <w:spacing w:line="360" w:lineRule="auto"/>
              <w:ind w:firstLine="480" w:firstLineChars="200"/>
              <w:jc w:val="both"/>
              <w:rPr>
                <w:rFonts w:hint="eastAsia" w:ascii="Times New Roman" w:hAnsi="Times New Roman" w:eastAsia="宋体" w:cs="Times New Roman"/>
                <w:lang w:eastAsia="zh-CN"/>
              </w:rPr>
            </w:pPr>
            <w:r>
              <w:rPr>
                <w:rFonts w:hint="default" w:ascii="Times New Roman" w:hAnsi="Times New Roman" w:eastAsia="宋体" w:cs="Times New Roman"/>
                <w:lang w:val="en-US" w:eastAsia="zh-CN"/>
              </w:rPr>
              <w:t>验收监测结果表明：厂界无组织排放监控点所监测的苯、甲苯、二甲苯、</w:t>
            </w:r>
            <w:r>
              <w:rPr>
                <w:rFonts w:hint="eastAsia" w:ascii="Times New Roman" w:hAnsi="Times New Roman" w:eastAsia="宋体" w:cs="Times New Roman"/>
                <w:lang w:val="en-US" w:eastAsia="zh-CN"/>
              </w:rPr>
              <w:t>非甲烷总烃</w:t>
            </w:r>
            <w:r>
              <w:rPr>
                <w:rFonts w:hint="default" w:ascii="Times New Roman" w:hAnsi="Times New Roman" w:eastAsia="宋体" w:cs="Times New Roman"/>
                <w:lang w:val="en-US" w:eastAsia="zh-CN"/>
              </w:rPr>
              <w:t>最大浓度监测值分别为</w:t>
            </w:r>
            <w:r>
              <w:rPr>
                <w:rFonts w:hint="eastAsia" w:ascii="Times New Roman" w:hAnsi="Times New Roman" w:eastAsia="宋体" w:cs="Times New Roman"/>
                <w:lang w:val="en-US" w:eastAsia="zh-CN"/>
              </w:rPr>
              <w:t>0.075</w:t>
            </w:r>
            <w:r>
              <w:rPr>
                <w:rFonts w:hint="default" w:ascii="Times New Roman" w:hAnsi="Times New Roman" w:eastAsia="宋体" w:cs="Times New Roman"/>
                <w:lang w:val="en-US" w:eastAsia="zh-CN"/>
              </w:rPr>
              <w:t>mg/m</w:t>
            </w:r>
            <w:r>
              <w:rPr>
                <w:rFonts w:hint="default" w:ascii="Times New Roman" w:hAnsi="Times New Roman" w:eastAsia="宋体" w:cs="Times New Roman"/>
                <w:vertAlign w:val="superscript"/>
                <w:lang w:val="en-US" w:eastAsia="zh-CN"/>
              </w:rPr>
              <w:t>3</w:t>
            </w:r>
            <w:r>
              <w:rPr>
                <w:rFonts w:hint="default" w:ascii="Times New Roman" w:hAnsi="Times New Roman" w:eastAsia="宋体" w:cs="Times New Roman"/>
                <w:lang w:val="en-US" w:eastAsia="zh-CN"/>
              </w:rPr>
              <w:t>、</w:t>
            </w:r>
            <w:r>
              <w:rPr>
                <w:rFonts w:hint="eastAsia" w:ascii="Times New Roman" w:hAnsi="Times New Roman" w:eastAsia="宋体" w:cs="Times New Roman"/>
                <w:lang w:val="en-US" w:eastAsia="zh-CN"/>
              </w:rPr>
              <w:t>0.189</w:t>
            </w:r>
            <w:r>
              <w:rPr>
                <w:rFonts w:hint="default" w:ascii="Times New Roman" w:hAnsi="Times New Roman" w:eastAsia="宋体" w:cs="Times New Roman"/>
                <w:lang w:val="en-US" w:eastAsia="zh-CN"/>
              </w:rPr>
              <w:t>mg/m</w:t>
            </w:r>
            <w:r>
              <w:rPr>
                <w:rFonts w:hint="default" w:ascii="Times New Roman" w:hAnsi="Times New Roman" w:eastAsia="宋体" w:cs="Times New Roman"/>
                <w:vertAlign w:val="superscript"/>
                <w:lang w:val="en-US" w:eastAsia="zh-CN"/>
              </w:rPr>
              <w:t>3</w:t>
            </w:r>
            <w:r>
              <w:rPr>
                <w:rFonts w:hint="default" w:ascii="Times New Roman" w:hAnsi="Times New Roman" w:eastAsia="宋体" w:cs="Times New Roman"/>
                <w:lang w:val="en-US" w:eastAsia="zh-CN"/>
              </w:rPr>
              <w:t>、</w:t>
            </w:r>
            <w:r>
              <w:rPr>
                <w:rFonts w:hint="eastAsia" w:ascii="Times New Roman" w:hAnsi="Times New Roman" w:eastAsia="宋体" w:cs="Times New Roman"/>
                <w:lang w:val="en-US" w:eastAsia="zh-CN"/>
              </w:rPr>
              <w:t>0.265</w:t>
            </w:r>
            <w:r>
              <w:rPr>
                <w:rFonts w:hint="default" w:ascii="Times New Roman" w:hAnsi="Times New Roman" w:eastAsia="宋体" w:cs="Times New Roman"/>
                <w:lang w:val="en-US" w:eastAsia="zh-CN"/>
              </w:rPr>
              <w:t>mg/m</w:t>
            </w:r>
            <w:r>
              <w:rPr>
                <w:rFonts w:hint="default" w:ascii="Times New Roman" w:hAnsi="Times New Roman" w:eastAsia="宋体" w:cs="Times New Roman"/>
                <w:vertAlign w:val="superscript"/>
                <w:lang w:val="en-US" w:eastAsia="zh-CN"/>
              </w:rPr>
              <w:t>3</w:t>
            </w:r>
            <w:r>
              <w:rPr>
                <w:rFonts w:hint="default" w:ascii="Times New Roman" w:hAnsi="Times New Roman" w:eastAsia="宋体" w:cs="Times New Roman"/>
                <w:lang w:val="en-US" w:eastAsia="zh-CN"/>
              </w:rPr>
              <w:t>、</w:t>
            </w:r>
            <w:r>
              <w:rPr>
                <w:rFonts w:hint="eastAsia" w:ascii="Times New Roman" w:hAnsi="Times New Roman" w:eastAsia="宋体" w:cs="Times New Roman"/>
                <w:lang w:val="en-US" w:eastAsia="zh-CN"/>
              </w:rPr>
              <w:t>3.20</w:t>
            </w:r>
            <w:r>
              <w:rPr>
                <w:rFonts w:hint="default" w:ascii="Times New Roman" w:hAnsi="Times New Roman" w:eastAsia="宋体" w:cs="Times New Roman"/>
                <w:lang w:val="en-US" w:eastAsia="zh-CN"/>
              </w:rPr>
              <w:t>mg/m</w:t>
            </w:r>
            <w:r>
              <w:rPr>
                <w:rFonts w:hint="default" w:ascii="Times New Roman" w:hAnsi="Times New Roman" w:eastAsia="宋体" w:cs="Times New Roman"/>
                <w:vertAlign w:val="superscript"/>
                <w:lang w:val="en-US" w:eastAsia="zh-CN"/>
              </w:rPr>
              <w:t>3</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lang w:val="en-US" w:eastAsia="zh-CN"/>
              </w:rPr>
              <w:t>，</w:t>
            </w:r>
            <w:r>
              <w:rPr>
                <w:rFonts w:hint="eastAsia" w:ascii="Times New Roman" w:hAnsi="Times New Roman" w:eastAsia="宋体" w:cs="Times New Roman"/>
                <w:lang w:val="en-US" w:eastAsia="zh-CN"/>
              </w:rPr>
              <w:t>均</w:t>
            </w:r>
            <w:r>
              <w:rPr>
                <w:rFonts w:hint="default" w:ascii="Times New Roman" w:hAnsi="Times New Roman" w:eastAsia="宋体" w:cs="Times New Roman"/>
                <w:lang w:eastAsia="zh-CN"/>
              </w:rPr>
              <w:t>符合《石油化学工业污染物排放标准》（GB31571-2015）表7无组织排放限值。</w:t>
            </w:r>
          </w:p>
          <w:p>
            <w:pPr>
              <w:pStyle w:val="2"/>
              <w:keepNext w:val="0"/>
              <w:keepLines w:val="0"/>
              <w:pageBreakBefore w:val="0"/>
              <w:widowControl w:val="0"/>
              <w:numPr>
                <w:ilvl w:val="0"/>
                <w:numId w:val="4"/>
              </w:numPr>
              <w:kinsoku/>
              <w:wordWrap/>
              <w:overflowPunct/>
              <w:topLinePunct w:val="0"/>
              <w:autoSpaceDE w:val="0"/>
              <w:autoSpaceDN w:val="0"/>
              <w:bidi w:val="0"/>
              <w:adjustRightInd/>
              <w:snapToGrid/>
              <w:spacing w:line="360" w:lineRule="auto"/>
              <w:ind w:firstLine="480" w:firstLineChars="200"/>
              <w:jc w:val="both"/>
              <w:textAlignment w:val="auto"/>
              <w:rPr>
                <w:rFonts w:hint="eastAsia" w:ascii="宋体" w:hAnsi="宋体" w:eastAsia="宋体" w:cs="宋体"/>
              </w:rPr>
            </w:pPr>
            <w:r>
              <w:rPr>
                <w:rFonts w:hint="eastAsia" w:ascii="宋体" w:hAnsi="宋体" w:eastAsia="宋体" w:cs="宋体"/>
                <w:lang w:eastAsia="zh-CN"/>
              </w:rPr>
              <w:t>噪声</w:t>
            </w:r>
            <w:r>
              <w:rPr>
                <w:rFonts w:hint="eastAsia" w:ascii="宋体" w:hAnsi="宋体" w:eastAsia="宋体" w:cs="宋体"/>
              </w:rPr>
              <w:t>监测结果及评价</w:t>
            </w:r>
          </w:p>
          <w:p>
            <w:pPr>
              <w:keepNext w:val="0"/>
              <w:keepLines w:val="0"/>
              <w:pageBreakBefore w:val="0"/>
              <w:widowControl w:val="0"/>
              <w:kinsoku/>
              <w:wordWrap/>
              <w:overflowPunct/>
              <w:topLinePunct w:val="0"/>
              <w:autoSpaceDE w:val="0"/>
              <w:autoSpaceDN w:val="0"/>
              <w:bidi w:val="0"/>
              <w:adjustRightInd/>
              <w:snapToGrid/>
              <w:spacing w:line="360" w:lineRule="auto"/>
              <w:ind w:firstLine="48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本项目噪声监测结果详见表</w:t>
            </w:r>
            <w:r>
              <w:rPr>
                <w:rFonts w:hint="eastAsia" w:ascii="宋体" w:hAnsi="宋体" w:eastAsia="宋体" w:cs="宋体"/>
                <w:sz w:val="24"/>
                <w:szCs w:val="24"/>
                <w:lang w:val="en-US" w:eastAsia="zh-CN"/>
              </w:rPr>
              <w:t>21</w:t>
            </w:r>
            <w:r>
              <w:rPr>
                <w:rFonts w:hint="eastAsia" w:ascii="宋体" w:hAnsi="宋体" w:eastAsia="宋体" w:cs="宋体"/>
                <w:sz w:val="24"/>
                <w:szCs w:val="24"/>
                <w:lang w:eastAsia="zh-CN"/>
              </w:rPr>
              <w:t>。</w:t>
            </w:r>
          </w:p>
          <w:p>
            <w:pPr>
              <w:spacing w:line="360" w:lineRule="auto"/>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表</w:t>
            </w:r>
            <w:r>
              <w:rPr>
                <w:rFonts w:hint="eastAsia" w:ascii="Times New Roman" w:hAnsi="Times New Roman" w:eastAsia="宋体" w:cs="Times New Roman"/>
                <w:b/>
                <w:bCs/>
                <w:sz w:val="21"/>
                <w:szCs w:val="21"/>
                <w:lang w:val="en-US" w:eastAsia="zh-CN"/>
              </w:rPr>
              <w:t>21</w:t>
            </w:r>
            <w:r>
              <w:rPr>
                <w:rFonts w:hint="default" w:ascii="Times New Roman" w:hAnsi="Times New Roman" w:eastAsia="宋体" w:cs="Times New Roman"/>
                <w:b/>
                <w:bCs/>
                <w:sz w:val="21"/>
                <w:szCs w:val="21"/>
                <w:lang w:val="en-US" w:eastAsia="zh-CN"/>
              </w:rPr>
              <w:t xml:space="preserve">  厂界噪声监测结果一览表</w:t>
            </w:r>
          </w:p>
          <w:tbl>
            <w:tblPr>
              <w:tblStyle w:val="16"/>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9"/>
              <w:gridCol w:w="2020"/>
              <w:gridCol w:w="1648"/>
              <w:gridCol w:w="1757"/>
              <w:gridCol w:w="17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848" w:type="pct"/>
                  <w:vMerge w:val="restar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点位序号</w:t>
                  </w:r>
                </w:p>
              </w:tc>
              <w:tc>
                <w:tcPr>
                  <w:tcW w:w="1166" w:type="pct"/>
                  <w:vMerge w:val="restar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采样位置</w:t>
                  </w:r>
                </w:p>
              </w:tc>
              <w:tc>
                <w:tcPr>
                  <w:tcW w:w="951" w:type="pct"/>
                  <w:vMerge w:val="restar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采样时间</w:t>
                  </w:r>
                </w:p>
              </w:tc>
              <w:tc>
                <w:tcPr>
                  <w:tcW w:w="2034" w:type="pct"/>
                  <w:gridSpan w:val="2"/>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检测结果dB(A)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lang w:eastAsia="zh-CN"/>
                    </w:rPr>
                  </w:pPr>
                </w:p>
              </w:tc>
              <w:tc>
                <w:tcPr>
                  <w:tcW w:w="1166" w:type="pct"/>
                  <w:vMerge w:val="continue"/>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lang w:eastAsia="zh-CN"/>
                    </w:rPr>
                  </w:pPr>
                </w:p>
              </w:tc>
              <w:tc>
                <w:tcPr>
                  <w:tcW w:w="951" w:type="pct"/>
                  <w:vMerge w:val="continue"/>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lang w:eastAsia="zh-CN"/>
                    </w:rPr>
                  </w:pPr>
                </w:p>
              </w:tc>
              <w:tc>
                <w:tcPr>
                  <w:tcW w:w="1014"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 xml:space="preserve"> 昼间</w:t>
                  </w:r>
                </w:p>
              </w:tc>
              <w:tc>
                <w:tcPr>
                  <w:tcW w:w="1019" w:type="pct"/>
                  <w:tcBorders>
                    <w:tl2br w:val="nil"/>
                    <w:tr2bl w:val="nil"/>
                  </w:tcBorders>
                  <w:shd w:val="clear" w:color="auto" w:fill="D7D7D7" w:themeFill="background1" w:themeFillShade="D8"/>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kern w:val="2"/>
                      <w:sz w:val="21"/>
                      <w:szCs w:val="21"/>
                      <w:lang w:eastAsia="zh-CN"/>
                    </w:rPr>
                  </w:pPr>
                  <w:r>
                    <w:rPr>
                      <w:rFonts w:hint="eastAsia" w:ascii="宋体" w:hAnsi="宋体" w:eastAsia="宋体" w:cs="宋体"/>
                      <w:sz w:val="21"/>
                      <w:szCs w:val="21"/>
                      <w:lang w:eastAsia="zh-CN"/>
                    </w:rPr>
                    <w:t>N1</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kern w:val="2"/>
                      <w:sz w:val="21"/>
                      <w:szCs w:val="21"/>
                      <w:lang w:eastAsia="zh-CN"/>
                    </w:rPr>
                  </w:pPr>
                  <w:r>
                    <w:rPr>
                      <w:rFonts w:hint="eastAsia" w:ascii="宋体" w:hAnsi="宋体" w:eastAsia="宋体" w:cs="宋体"/>
                      <w:sz w:val="21"/>
                      <w:szCs w:val="21"/>
                      <w:vertAlign w:val="baseline"/>
                      <w:lang w:val="en-US" w:eastAsia="zh-CN"/>
                    </w:rPr>
                    <w:t>厂界西</w:t>
                  </w: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rPr>
                    <w:t>9</w:t>
                  </w:r>
                  <w:r>
                    <w:rPr>
                      <w:rFonts w:hint="eastAsia" w:ascii="宋体" w:hAnsi="宋体" w:eastAsia="宋体" w:cs="宋体"/>
                      <w:kern w:val="2"/>
                      <w:sz w:val="21"/>
                      <w:szCs w:val="21"/>
                      <w:lang w:eastAsia="zh-CN"/>
                    </w:rPr>
                    <w:t>月</w:t>
                  </w:r>
                  <w:r>
                    <w:rPr>
                      <w:rFonts w:hint="eastAsia" w:ascii="宋体" w:hAnsi="宋体" w:eastAsia="宋体" w:cs="宋体"/>
                      <w:kern w:val="2"/>
                      <w:sz w:val="21"/>
                      <w:szCs w:val="21"/>
                      <w:lang w:val="en-US" w:eastAsia="zh-CN"/>
                    </w:rPr>
                    <w:t>23</w:t>
                  </w:r>
                  <w:r>
                    <w:rPr>
                      <w:rFonts w:hint="eastAsia" w:ascii="宋体" w:hAnsi="宋体" w:eastAsia="宋体" w:cs="宋体"/>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color w:val="000000"/>
                      <w:kern w:val="0"/>
                      <w:sz w:val="21"/>
                      <w:szCs w:val="21"/>
                      <w:lang w:val="en-US" w:eastAsia="zh-CN"/>
                    </w:rPr>
                    <w:t>60</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rPr>
                    <w:t>9</w:t>
                  </w:r>
                  <w:r>
                    <w:rPr>
                      <w:rFonts w:hint="eastAsia" w:ascii="宋体" w:hAnsi="宋体" w:eastAsia="宋体" w:cs="宋体"/>
                      <w:kern w:val="2"/>
                      <w:sz w:val="21"/>
                      <w:szCs w:val="21"/>
                      <w:lang w:eastAsia="zh-CN"/>
                    </w:rPr>
                    <w:t>月</w:t>
                  </w:r>
                  <w:r>
                    <w:rPr>
                      <w:rFonts w:hint="eastAsia" w:ascii="宋体" w:hAnsi="宋体" w:eastAsia="宋体" w:cs="宋体"/>
                      <w:kern w:val="2"/>
                      <w:sz w:val="21"/>
                      <w:szCs w:val="21"/>
                      <w:lang w:val="en-US" w:eastAsia="zh-CN"/>
                    </w:rPr>
                    <w:t>24</w:t>
                  </w:r>
                  <w:r>
                    <w:rPr>
                      <w:rFonts w:hint="eastAsia" w:ascii="宋体" w:hAnsi="宋体" w:eastAsia="宋体" w:cs="宋体"/>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color w:val="000000"/>
                      <w:kern w:val="0"/>
                      <w:sz w:val="21"/>
                      <w:szCs w:val="21"/>
                      <w:lang w:val="en-US" w:eastAsia="zh-CN"/>
                    </w:rPr>
                    <w:t>58</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kern w:val="2"/>
                      <w:sz w:val="21"/>
                      <w:szCs w:val="21"/>
                      <w:lang w:eastAsia="zh-CN"/>
                    </w:rPr>
                  </w:pPr>
                  <w:r>
                    <w:rPr>
                      <w:rFonts w:hint="eastAsia" w:ascii="宋体" w:hAnsi="宋体" w:eastAsia="宋体" w:cs="宋体"/>
                      <w:sz w:val="21"/>
                      <w:szCs w:val="21"/>
                      <w:lang w:eastAsia="zh-CN"/>
                    </w:rPr>
                    <w:t>N2</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kern w:val="2"/>
                      <w:sz w:val="21"/>
                      <w:szCs w:val="21"/>
                      <w:lang w:eastAsia="zh-CN"/>
                    </w:rPr>
                  </w:pPr>
                  <w:r>
                    <w:rPr>
                      <w:rFonts w:hint="eastAsia" w:ascii="宋体" w:hAnsi="宋体" w:eastAsia="宋体" w:cs="宋体"/>
                      <w:sz w:val="21"/>
                      <w:szCs w:val="21"/>
                      <w:vertAlign w:val="baseline"/>
                      <w:lang w:val="en-US" w:eastAsia="zh-CN"/>
                    </w:rPr>
                    <w:t>厂界北</w:t>
                  </w: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rPr>
                    <w:t>9</w:t>
                  </w:r>
                  <w:r>
                    <w:rPr>
                      <w:rFonts w:hint="eastAsia" w:ascii="宋体" w:hAnsi="宋体" w:eastAsia="宋体" w:cs="宋体"/>
                      <w:kern w:val="2"/>
                      <w:sz w:val="21"/>
                      <w:szCs w:val="21"/>
                      <w:lang w:eastAsia="zh-CN"/>
                    </w:rPr>
                    <w:t>月</w:t>
                  </w:r>
                  <w:r>
                    <w:rPr>
                      <w:rFonts w:hint="eastAsia" w:ascii="宋体" w:hAnsi="宋体" w:eastAsia="宋体" w:cs="宋体"/>
                      <w:kern w:val="2"/>
                      <w:sz w:val="21"/>
                      <w:szCs w:val="21"/>
                      <w:lang w:val="en-US" w:eastAsia="zh-CN"/>
                    </w:rPr>
                    <w:t>23</w:t>
                  </w:r>
                  <w:r>
                    <w:rPr>
                      <w:rFonts w:hint="eastAsia" w:ascii="宋体" w:hAnsi="宋体" w:eastAsia="宋体" w:cs="宋体"/>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color w:val="000000"/>
                      <w:kern w:val="0"/>
                      <w:sz w:val="21"/>
                      <w:szCs w:val="21"/>
                      <w:lang w:val="en-US" w:eastAsia="zh-CN"/>
                    </w:rPr>
                    <w:t>60</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rPr>
                    <w:t>9</w:t>
                  </w:r>
                  <w:r>
                    <w:rPr>
                      <w:rFonts w:hint="eastAsia" w:ascii="宋体" w:hAnsi="宋体" w:eastAsia="宋体" w:cs="宋体"/>
                      <w:kern w:val="2"/>
                      <w:sz w:val="21"/>
                      <w:szCs w:val="21"/>
                      <w:lang w:eastAsia="zh-CN"/>
                    </w:rPr>
                    <w:t>月</w:t>
                  </w:r>
                  <w:r>
                    <w:rPr>
                      <w:rFonts w:hint="eastAsia" w:ascii="宋体" w:hAnsi="宋体" w:eastAsia="宋体" w:cs="宋体"/>
                      <w:kern w:val="2"/>
                      <w:sz w:val="21"/>
                      <w:szCs w:val="21"/>
                      <w:lang w:val="en-US" w:eastAsia="zh-CN"/>
                    </w:rPr>
                    <w:t>24</w:t>
                  </w:r>
                  <w:r>
                    <w:rPr>
                      <w:rFonts w:hint="eastAsia" w:ascii="宋体" w:hAnsi="宋体" w:eastAsia="宋体" w:cs="宋体"/>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color w:val="000000"/>
                      <w:kern w:val="0"/>
                      <w:sz w:val="21"/>
                      <w:szCs w:val="21"/>
                      <w:lang w:val="en-US" w:eastAsia="zh-CN"/>
                    </w:rPr>
                    <w:t>56</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kern w:val="2"/>
                      <w:sz w:val="21"/>
                      <w:szCs w:val="21"/>
                      <w:lang w:eastAsia="zh-CN"/>
                    </w:rPr>
                  </w:pPr>
                  <w:r>
                    <w:rPr>
                      <w:rFonts w:hint="eastAsia" w:ascii="宋体" w:hAnsi="宋体" w:eastAsia="宋体" w:cs="宋体"/>
                      <w:sz w:val="21"/>
                      <w:szCs w:val="21"/>
                      <w:lang w:eastAsia="zh-CN"/>
                    </w:rPr>
                    <w:t>N3</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kern w:val="2"/>
                      <w:sz w:val="21"/>
                      <w:szCs w:val="21"/>
                      <w:lang w:eastAsia="zh-CN"/>
                    </w:rPr>
                  </w:pPr>
                  <w:r>
                    <w:rPr>
                      <w:rFonts w:hint="eastAsia" w:ascii="宋体" w:hAnsi="宋体" w:eastAsia="宋体" w:cs="宋体"/>
                      <w:sz w:val="21"/>
                      <w:szCs w:val="21"/>
                      <w:vertAlign w:val="baseline"/>
                      <w:lang w:val="en-US" w:eastAsia="zh-CN"/>
                    </w:rPr>
                    <w:t>厂界东</w:t>
                  </w: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rPr>
                    <w:t>9</w:t>
                  </w:r>
                  <w:r>
                    <w:rPr>
                      <w:rFonts w:hint="eastAsia" w:ascii="宋体" w:hAnsi="宋体" w:eastAsia="宋体" w:cs="宋体"/>
                      <w:kern w:val="2"/>
                      <w:sz w:val="21"/>
                      <w:szCs w:val="21"/>
                      <w:lang w:eastAsia="zh-CN"/>
                    </w:rPr>
                    <w:t>月</w:t>
                  </w:r>
                  <w:r>
                    <w:rPr>
                      <w:rFonts w:hint="eastAsia" w:ascii="宋体" w:hAnsi="宋体" w:eastAsia="宋体" w:cs="宋体"/>
                      <w:kern w:val="2"/>
                      <w:sz w:val="21"/>
                      <w:szCs w:val="21"/>
                      <w:lang w:val="en-US" w:eastAsia="zh-CN"/>
                    </w:rPr>
                    <w:t>23</w:t>
                  </w:r>
                  <w:r>
                    <w:rPr>
                      <w:rFonts w:hint="eastAsia" w:ascii="宋体" w:hAnsi="宋体" w:eastAsia="宋体" w:cs="宋体"/>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color w:val="000000"/>
                      <w:kern w:val="0"/>
                      <w:sz w:val="21"/>
                      <w:szCs w:val="21"/>
                      <w:lang w:val="en-US" w:eastAsia="zh-CN"/>
                    </w:rPr>
                    <w:t>58</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rPr>
                    <w:t>9</w:t>
                  </w:r>
                  <w:r>
                    <w:rPr>
                      <w:rFonts w:hint="eastAsia" w:ascii="宋体" w:hAnsi="宋体" w:eastAsia="宋体" w:cs="宋体"/>
                      <w:kern w:val="2"/>
                      <w:sz w:val="21"/>
                      <w:szCs w:val="21"/>
                      <w:lang w:eastAsia="zh-CN"/>
                    </w:rPr>
                    <w:t>月</w:t>
                  </w:r>
                  <w:r>
                    <w:rPr>
                      <w:rFonts w:hint="eastAsia" w:ascii="宋体" w:hAnsi="宋体" w:eastAsia="宋体" w:cs="宋体"/>
                      <w:kern w:val="2"/>
                      <w:sz w:val="21"/>
                      <w:szCs w:val="21"/>
                      <w:lang w:val="en-US" w:eastAsia="zh-CN"/>
                    </w:rPr>
                    <w:t>24</w:t>
                  </w:r>
                  <w:r>
                    <w:rPr>
                      <w:rFonts w:hint="eastAsia" w:ascii="宋体" w:hAnsi="宋体" w:eastAsia="宋体" w:cs="宋体"/>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color w:val="000000"/>
                      <w:kern w:val="0"/>
                      <w:sz w:val="21"/>
                      <w:szCs w:val="21"/>
                      <w:lang w:val="en-US" w:eastAsia="zh-CN"/>
                    </w:rPr>
                    <w:t>57</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848" w:type="pct"/>
                  <w:vMerge w:val="restar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kern w:val="2"/>
                      <w:sz w:val="21"/>
                      <w:szCs w:val="21"/>
                      <w:lang w:eastAsia="zh-CN"/>
                    </w:rPr>
                  </w:pPr>
                  <w:r>
                    <w:rPr>
                      <w:rFonts w:hint="eastAsia" w:ascii="宋体" w:hAnsi="宋体" w:eastAsia="宋体" w:cs="宋体"/>
                      <w:sz w:val="21"/>
                      <w:szCs w:val="21"/>
                      <w:lang w:eastAsia="zh-CN"/>
                    </w:rPr>
                    <w:t>N4</w:t>
                  </w:r>
                </w:p>
              </w:tc>
              <w:tc>
                <w:tcPr>
                  <w:tcW w:w="1166" w:type="pct"/>
                  <w:vMerge w:val="restar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kern w:val="2"/>
                      <w:sz w:val="21"/>
                      <w:szCs w:val="21"/>
                      <w:lang w:eastAsia="zh-CN"/>
                    </w:rPr>
                  </w:pPr>
                  <w:r>
                    <w:rPr>
                      <w:rFonts w:hint="eastAsia" w:ascii="宋体" w:hAnsi="宋体" w:eastAsia="宋体" w:cs="宋体"/>
                      <w:sz w:val="21"/>
                      <w:szCs w:val="21"/>
                      <w:vertAlign w:val="baseline"/>
                      <w:lang w:val="en-US" w:eastAsia="zh-CN"/>
                    </w:rPr>
                    <w:t>厂界南</w:t>
                  </w: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rPr>
                    <w:t>9</w:t>
                  </w:r>
                  <w:r>
                    <w:rPr>
                      <w:rFonts w:hint="eastAsia" w:ascii="宋体" w:hAnsi="宋体" w:eastAsia="宋体" w:cs="宋体"/>
                      <w:kern w:val="2"/>
                      <w:sz w:val="21"/>
                      <w:szCs w:val="21"/>
                      <w:lang w:eastAsia="zh-CN"/>
                    </w:rPr>
                    <w:t>月</w:t>
                  </w:r>
                  <w:r>
                    <w:rPr>
                      <w:rFonts w:hint="eastAsia" w:ascii="宋体" w:hAnsi="宋体" w:eastAsia="宋体" w:cs="宋体"/>
                      <w:kern w:val="2"/>
                      <w:sz w:val="21"/>
                      <w:szCs w:val="21"/>
                      <w:lang w:val="en-US" w:eastAsia="zh-CN"/>
                    </w:rPr>
                    <w:t>23</w:t>
                  </w:r>
                  <w:r>
                    <w:rPr>
                      <w:rFonts w:hint="eastAsia" w:ascii="宋体" w:hAnsi="宋体" w:eastAsia="宋体" w:cs="宋体"/>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color w:val="000000"/>
                      <w:kern w:val="0"/>
                      <w:sz w:val="21"/>
                      <w:szCs w:val="21"/>
                      <w:lang w:val="en-US" w:eastAsia="zh-CN"/>
                    </w:rPr>
                    <w:t>58</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8"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p>
              </w:tc>
              <w:tc>
                <w:tcPr>
                  <w:tcW w:w="1166" w:type="pct"/>
                  <w:vMerge w:val="continue"/>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p>
              </w:tc>
              <w:tc>
                <w:tcPr>
                  <w:tcW w:w="951" w:type="pct"/>
                  <w:tcBorders>
                    <w:tl2br w:val="nil"/>
                    <w:tr2bl w:val="nil"/>
                  </w:tcBorders>
                  <w:vAlign w:val="center"/>
                </w:tcPr>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rPr>
                    <w:t>9</w:t>
                  </w:r>
                  <w:r>
                    <w:rPr>
                      <w:rFonts w:hint="eastAsia" w:ascii="宋体" w:hAnsi="宋体" w:eastAsia="宋体" w:cs="宋体"/>
                      <w:kern w:val="2"/>
                      <w:sz w:val="21"/>
                      <w:szCs w:val="21"/>
                      <w:lang w:eastAsia="zh-CN"/>
                    </w:rPr>
                    <w:t>月</w:t>
                  </w:r>
                  <w:r>
                    <w:rPr>
                      <w:rFonts w:hint="eastAsia" w:ascii="宋体" w:hAnsi="宋体" w:eastAsia="宋体" w:cs="宋体"/>
                      <w:kern w:val="2"/>
                      <w:sz w:val="21"/>
                      <w:szCs w:val="21"/>
                      <w:lang w:val="en-US" w:eastAsia="zh-CN"/>
                    </w:rPr>
                    <w:t>24</w:t>
                  </w:r>
                  <w:r>
                    <w:rPr>
                      <w:rFonts w:hint="eastAsia" w:ascii="宋体" w:hAnsi="宋体" w:eastAsia="宋体" w:cs="宋体"/>
                      <w:kern w:val="2"/>
                      <w:sz w:val="21"/>
                      <w:szCs w:val="21"/>
                      <w:lang w:eastAsia="zh-CN"/>
                    </w:rPr>
                    <w:t>日</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sz w:val="21"/>
                      <w:szCs w:val="21"/>
                      <w:lang w:eastAsia="zh-CN"/>
                    </w:rPr>
                  </w:pPr>
                  <w:r>
                    <w:rPr>
                      <w:rFonts w:hint="eastAsia" w:ascii="宋体" w:hAnsi="宋体" w:eastAsia="宋体" w:cs="宋体"/>
                      <w:color w:val="000000"/>
                      <w:kern w:val="0"/>
                      <w:sz w:val="21"/>
                      <w:szCs w:val="21"/>
                      <w:lang w:val="en-US" w:eastAsia="zh-CN"/>
                    </w:rPr>
                    <w:t>57</w:t>
                  </w:r>
                </w:p>
              </w:tc>
              <w:tc>
                <w:tcPr>
                  <w:tcW w:w="1764" w:type="dxa"/>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2965" w:type="pct"/>
                  <w:gridSpan w:val="3"/>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《工业企业厂界环境噪声排放标准》</w:t>
                  </w:r>
                </w:p>
                <w:p>
                  <w:pPr>
                    <w:keepNext w:val="0"/>
                    <w:keepLines w:val="0"/>
                    <w:pageBreakBefore w:val="0"/>
                    <w:kinsoku/>
                    <w:wordWrap/>
                    <w:overflowPunct/>
                    <w:topLinePunct w:val="0"/>
                    <w:autoSpaceDE w:val="0"/>
                    <w:autoSpaceDN w:val="0"/>
                    <w:bidi w:val="0"/>
                    <w:adjustRightInd/>
                    <w:snapToGrid/>
                    <w:jc w:val="center"/>
                    <w:textAlignment w:val="auto"/>
                    <w:rPr>
                      <w:rFonts w:hint="eastAsia" w:ascii="宋体" w:hAnsi="宋体" w:eastAsia="宋体" w:cs="宋体"/>
                      <w:kern w:val="2"/>
                      <w:sz w:val="21"/>
                      <w:szCs w:val="21"/>
                      <w:lang w:val="en-US" w:eastAsia="zh-CN"/>
                    </w:rPr>
                  </w:pPr>
                  <w:r>
                    <w:rPr>
                      <w:rFonts w:hint="eastAsia" w:ascii="宋体" w:hAnsi="宋体" w:eastAsia="宋体" w:cs="宋体"/>
                      <w:color w:val="auto"/>
                      <w:sz w:val="21"/>
                      <w:szCs w:val="21"/>
                      <w:highlight w:val="none"/>
                    </w:rPr>
                    <w:t xml:space="preserve">GB 12348-2008 </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类区限值</w:t>
                  </w:r>
                </w:p>
              </w:tc>
              <w:tc>
                <w:tcPr>
                  <w:tcW w:w="1014"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rPr>
                    <w:t>6</w:t>
                  </w:r>
                  <w:r>
                    <w:rPr>
                      <w:rFonts w:hint="eastAsia" w:ascii="宋体" w:hAnsi="宋体" w:eastAsia="宋体" w:cs="宋体"/>
                      <w:kern w:val="0"/>
                      <w:sz w:val="21"/>
                      <w:szCs w:val="21"/>
                      <w:highlight w:val="none"/>
                      <w:lang w:val="en-US" w:eastAsia="zh-CN"/>
                    </w:rPr>
                    <w:t>5</w:t>
                  </w:r>
                </w:p>
              </w:tc>
              <w:tc>
                <w:tcPr>
                  <w:tcW w:w="1019" w:type="pct"/>
                  <w:tcBorders>
                    <w:tl2br w:val="nil"/>
                    <w:tr2bl w:val="nil"/>
                  </w:tcBorders>
                  <w:vAlign w:val="center"/>
                </w:tcPr>
                <w:p>
                  <w:pPr>
                    <w:keepNext w:val="0"/>
                    <w:keepLines w:val="0"/>
                    <w:pageBreakBefore w:val="0"/>
                    <w:widowControl/>
                    <w:kinsoku/>
                    <w:wordWrap/>
                    <w:overflowPunct/>
                    <w:topLinePunct w:val="0"/>
                    <w:autoSpaceDE w:val="0"/>
                    <w:autoSpaceDN w:val="0"/>
                    <w:bidi w:val="0"/>
                    <w:adjustRightInd/>
                    <w:snapToGrid/>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rPr>
                    <w:t>55</w:t>
                  </w:r>
                </w:p>
              </w:tc>
            </w:tr>
          </w:tbl>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eastAsia" w:ascii="宋体" w:hAnsi="宋体" w:eastAsia="宋体" w:cs="宋体"/>
                <w:lang w:eastAsia="zh-CN"/>
              </w:rPr>
            </w:pPr>
            <w:r>
              <w:rPr>
                <w:rFonts w:hint="eastAsia" w:ascii="宋体" w:hAnsi="宋体" w:eastAsia="宋体" w:cs="宋体"/>
                <w:lang w:eastAsia="zh-CN"/>
              </w:rPr>
              <w:t>由表</w:t>
            </w:r>
            <w:r>
              <w:rPr>
                <w:rFonts w:hint="eastAsia" w:ascii="宋体" w:hAnsi="宋体" w:eastAsia="宋体" w:cs="宋体"/>
                <w:lang w:val="en-US" w:eastAsia="zh-CN"/>
              </w:rPr>
              <w:t>15</w:t>
            </w:r>
            <w:r>
              <w:rPr>
                <w:rFonts w:hint="eastAsia" w:ascii="宋体" w:hAnsi="宋体" w:eastAsia="宋体" w:cs="宋体"/>
                <w:lang w:eastAsia="zh-CN"/>
              </w:rPr>
              <w:t>可知，本项目正常生产时车间厂界四周昼间最大噪声值为</w:t>
            </w:r>
            <w:r>
              <w:rPr>
                <w:rFonts w:hint="eastAsia" w:ascii="宋体" w:hAnsi="宋体" w:eastAsia="宋体" w:cs="宋体"/>
                <w:lang w:val="en-US" w:eastAsia="zh-CN"/>
              </w:rPr>
              <w:t>60</w:t>
            </w:r>
            <w:r>
              <w:rPr>
                <w:rFonts w:hint="eastAsia" w:ascii="宋体" w:hAnsi="宋体" w:eastAsia="宋体" w:cs="宋体"/>
                <w:lang w:eastAsia="zh-CN"/>
              </w:rPr>
              <w:t>dB(A)，夜间最大噪声值为</w:t>
            </w:r>
            <w:r>
              <w:rPr>
                <w:rFonts w:hint="eastAsia" w:ascii="宋体" w:hAnsi="宋体" w:eastAsia="宋体" w:cs="宋体"/>
                <w:lang w:val="en-US" w:eastAsia="zh-CN"/>
              </w:rPr>
              <w:t>53</w:t>
            </w:r>
            <w:r>
              <w:rPr>
                <w:rFonts w:hint="eastAsia" w:ascii="宋体" w:hAnsi="宋体" w:eastAsia="宋体" w:cs="宋体"/>
                <w:lang w:eastAsia="zh-CN"/>
              </w:rPr>
              <w:t>dB(A)，均能达到《工业企业厂界环境噪声排放标准》（GB12348-2008）中3类标准。</w:t>
            </w: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宋体" w:hAnsi="宋体" w:eastAsia="宋体" w:cs="宋体"/>
                <w:lang w:eastAsia="zh-CN"/>
              </w:rPr>
            </w:pPr>
          </w:p>
          <w:p>
            <w:pPr>
              <w:pStyle w:val="2"/>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eastAsiaTheme="minorEastAsia"/>
                <w:szCs w:val="20"/>
                <w:lang w:val="en-US" w:eastAsia="zh-CN"/>
              </w:rPr>
            </w:pPr>
          </w:p>
        </w:tc>
      </w:tr>
    </w:tbl>
    <w:p>
      <w:pPr>
        <w:widowControl/>
        <w:autoSpaceDE/>
        <w:autoSpaceDN/>
        <w:rPr>
          <w:lang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rFonts w:ascii="Times New Roman" w:hAnsi="Times New Roman" w:eastAsia="宋体" w:cs="Times New Roman"/>
          <w:b/>
          <w:sz w:val="24"/>
          <w:szCs w:val="24"/>
          <w:lang w:eastAsia="zh-CN"/>
        </w:rPr>
      </w:pPr>
      <w:r>
        <w:rPr>
          <w:rFonts w:ascii="Times New Roman" w:hAnsi="Times New Roman" w:eastAsia="宋体" w:cs="Times New Roman"/>
          <w:b/>
          <w:sz w:val="24"/>
          <w:szCs w:val="24"/>
          <w:lang w:eastAsia="zh-CN"/>
        </w:rPr>
        <w:t>表八</w:t>
      </w:r>
    </w:p>
    <w:tbl>
      <w:tblPr>
        <w:tblStyle w:val="17"/>
        <w:tblW w:w="9303"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303"/>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PrEx>
        <w:trPr>
          <w:jc w:val="center"/>
        </w:trPr>
        <w:tc>
          <w:tcPr>
            <w:tcW w:w="9303" w:type="dxa"/>
            <w:tcBorders>
              <w:tl2br w:val="nil"/>
              <w:tr2bl w:val="nil"/>
            </w:tcBorders>
          </w:tcPr>
          <w:p>
            <w:pPr>
              <w:pStyle w:val="2"/>
              <w:keepNext w:val="0"/>
              <w:keepLines w:val="0"/>
              <w:pageBreakBefore w:val="0"/>
              <w:kinsoku/>
              <w:wordWrap/>
              <w:overflowPunct/>
              <w:topLinePunct w:val="0"/>
              <w:bidi w:val="0"/>
              <w:adjustRightInd/>
              <w:snapToGrid/>
              <w:spacing w:line="360" w:lineRule="auto"/>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验收监测结论：</w:t>
            </w:r>
          </w:p>
          <w:p>
            <w:pPr>
              <w:pStyle w:val="2"/>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1、环境保护管理制度</w:t>
            </w:r>
          </w:p>
          <w:p>
            <w:pPr>
              <w:pStyle w:val="2"/>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公司制定了环保规章制度，有专人负责环保现场管理，建立了一套完整的规章制度，设立了环境保护管理档案。制定环境保护设施操作规程，加强巡查，确保污染物稳定达标外排。</w:t>
            </w:r>
          </w:p>
          <w:p>
            <w:pPr>
              <w:pStyle w:val="2"/>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项目已办理排污许可证，属于合理排污，</w:t>
            </w:r>
            <w:r>
              <w:rPr>
                <w:rFonts w:hint="default" w:ascii="Times New Roman" w:hAnsi="Times New Roman" w:cs="Times New Roman"/>
                <w:sz w:val="24"/>
                <w:szCs w:val="24"/>
                <w:lang w:val="en-US" w:eastAsia="zh-CN"/>
              </w:rPr>
              <w:t>详见附件3</w:t>
            </w:r>
            <w:r>
              <w:rPr>
                <w:rFonts w:hint="default" w:ascii="Times New Roman" w:hAnsi="Times New Roman" w:cs="Times New Roman"/>
                <w:sz w:val="24"/>
                <w:szCs w:val="24"/>
                <w:lang w:eastAsia="zh-CN"/>
              </w:rPr>
              <w:t>。</w:t>
            </w:r>
          </w:p>
          <w:p>
            <w:pPr>
              <w:pStyle w:val="2"/>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巴陵石化分公司已制定包含本项目在内的突发环境事件应急预案，并已在岳阳市生态环境局备案。详见附件2。</w:t>
            </w:r>
          </w:p>
          <w:p>
            <w:pPr>
              <w:pStyle w:val="2"/>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2、污染物排放监测结果</w:t>
            </w:r>
          </w:p>
          <w:p>
            <w:pPr>
              <w:pStyle w:val="2"/>
              <w:keepNext w:val="0"/>
              <w:keepLines w:val="0"/>
              <w:pageBreakBefore w:val="0"/>
              <w:widowControl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（1）废气验收监测结论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根据竣工验收期间厂界无组织排放废气的监测数据表明，苯、甲苯、二甲苯、非甲烷总烃在厂界最大浓度值分别为0.075mg/m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、0.189mg/m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、0.265mg/m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、3.20mg/m</w:t>
            </w:r>
            <w:r>
              <w:rPr>
                <w:rFonts w:hint="default" w:ascii="Times New Roman" w:hAnsi="Times New Roman" w:cs="Times New Roman"/>
                <w:sz w:val="24"/>
                <w:szCs w:val="24"/>
                <w:vertAlign w:val="superscript"/>
                <w:lang w:val="en-US" w:eastAsia="zh-CN"/>
              </w:rPr>
              <w:t>3</w:t>
            </w:r>
            <w:r>
              <w:rPr>
                <w:rFonts w:hint="default" w:ascii="Times New Roman" w:hAnsi="Times New Roman" w:cs="Times New Roman"/>
                <w:sz w:val="24"/>
                <w:szCs w:val="24"/>
                <w:lang w:val="en-US" w:eastAsia="zh-CN"/>
              </w:rPr>
              <w:t xml:space="preserve"> ，均符合《石油化学工业污染物排放标准》（GB31571-2015）表7无组织排放限值。连续两天对本项目VOCs热氧处理系统装置处理后尾气排气筒的监测数据表明：验收期间，VOCs尾气系统处理装置主要污染物去除效率分别为苯98.5%、甲苯99.2%、二甲苯97.6%、非甲烷总烃99.9%，满足环评处理效率要求，且VOCs热氧处理系统装置处理后尾气排气筒有组织废气监测数据均符合《石油化学工业污染物排放标准》（GB31571-2015）表4中排放限值要求。</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（2）废水验收监测结论</w:t>
            </w:r>
          </w:p>
          <w:p>
            <w:pPr>
              <w:pStyle w:val="2"/>
              <w:numPr>
                <w:ilvl w:val="0"/>
                <w:numId w:val="0"/>
              </w:numPr>
              <w:spacing w:line="360" w:lineRule="auto"/>
              <w:ind w:firstLine="720" w:firstLineChars="300"/>
              <w:jc w:val="both"/>
              <w:rPr>
                <w:rFonts w:hint="default" w:ascii="Times New Roman" w:hAnsi="Times New Roman" w:eastAsia="宋体" w:cs="Times New Roman"/>
                <w:color w:val="auto"/>
                <w:spacing w:val="-4"/>
                <w:sz w:val="24"/>
                <w:szCs w:val="24"/>
                <w:lang w:val="en-US" w:eastAsia="zh-CN"/>
              </w:rPr>
            </w:pPr>
            <w:r>
              <w:rPr>
                <w:rFonts w:hint="default" w:ascii="Times New Roman" w:hAnsi="Times New Roman" w:cs="Times New Roman"/>
                <w:sz w:val="24"/>
                <w:szCs w:val="24"/>
                <w:lang w:eastAsia="zh-CN"/>
              </w:rPr>
              <w:t>项目验收监测期间，脱硫塔废水排口各监测因子监测结果为pH范围为</w:t>
            </w:r>
            <w:r>
              <w:rPr>
                <w:rFonts w:hint="default" w:ascii="Times New Roman" w:hAnsi="Times New Roman" w:cs="Times New Roman"/>
                <w:sz w:val="24"/>
                <w:szCs w:val="24"/>
                <w:lang w:val="en-US" w:eastAsia="zh-CN"/>
              </w:rPr>
              <w:t>6.95-7.52</w:t>
            </w:r>
            <w:r>
              <w:rPr>
                <w:rFonts w:hint="default" w:ascii="Times New Roman" w:hAnsi="Times New Roman" w:cs="Times New Roman"/>
                <w:sz w:val="24"/>
                <w:szCs w:val="24"/>
                <w:lang w:eastAsia="zh-CN"/>
              </w:rPr>
              <w:t>、COD</w:t>
            </w:r>
            <w:r>
              <w:rPr>
                <w:rFonts w:hint="default" w:ascii="Times New Roman" w:hAnsi="Times New Roman" w:cs="Times New Roman"/>
                <w:sz w:val="24"/>
                <w:szCs w:val="24"/>
                <w:lang w:val="en-US" w:eastAsia="zh-CN"/>
              </w:rPr>
              <w:t>s</w:t>
            </w:r>
            <w:r>
              <w:rPr>
                <w:rFonts w:hint="default" w:ascii="Times New Roman" w:hAnsi="Times New Roman" w:cs="Times New Roman"/>
                <w:sz w:val="24"/>
                <w:szCs w:val="24"/>
                <w:lang w:eastAsia="zh-CN"/>
              </w:rPr>
              <w:t>最大监测浓度为</w:t>
            </w:r>
            <w:r>
              <w:rPr>
                <w:rFonts w:hint="default" w:ascii="Times New Roman" w:hAnsi="Times New Roman" w:cs="Times New Roman"/>
                <w:sz w:val="24"/>
                <w:szCs w:val="24"/>
                <w:lang w:val="en-US" w:eastAsia="zh-CN"/>
              </w:rPr>
              <w:t>16</w:t>
            </w:r>
            <w:r>
              <w:rPr>
                <w:rFonts w:hint="default" w:ascii="Times New Roman" w:hAnsi="Times New Roman" w:cs="Times New Roman"/>
                <w:sz w:val="24"/>
                <w:szCs w:val="24"/>
                <w:lang w:eastAsia="zh-CN"/>
              </w:rPr>
              <w:t>mg/L，挥发酚最大监测浓度为</w:t>
            </w:r>
            <w:r>
              <w:rPr>
                <w:rFonts w:hint="default" w:ascii="Times New Roman" w:hAnsi="Times New Roman" w:cs="Times New Roman"/>
                <w:sz w:val="24"/>
                <w:szCs w:val="24"/>
                <w:lang w:val="en-US" w:eastAsia="zh-CN"/>
              </w:rPr>
              <w:t>0.007</w:t>
            </w:r>
            <w:r>
              <w:rPr>
                <w:rFonts w:hint="default" w:ascii="Times New Roman" w:hAnsi="Times New Roman" w:cs="Times New Roman"/>
                <w:sz w:val="24"/>
                <w:szCs w:val="24"/>
                <w:lang w:eastAsia="zh-CN"/>
              </w:rPr>
              <w:t>mg/L，氨氮最大监测浓度为</w:t>
            </w:r>
            <w:r>
              <w:rPr>
                <w:rFonts w:hint="default" w:ascii="Times New Roman" w:hAnsi="Times New Roman" w:cs="Times New Roman"/>
                <w:sz w:val="24"/>
                <w:szCs w:val="24"/>
                <w:lang w:val="en-US" w:eastAsia="zh-CN"/>
              </w:rPr>
              <w:t>2.22</w:t>
            </w:r>
            <w:r>
              <w:rPr>
                <w:rFonts w:hint="default" w:ascii="Times New Roman" w:hAnsi="Times New Roman" w:cs="Times New Roman"/>
                <w:sz w:val="24"/>
                <w:szCs w:val="24"/>
                <w:lang w:eastAsia="zh-CN"/>
              </w:rPr>
              <w:t>mg/L，</w:t>
            </w:r>
            <w:r>
              <w:rPr>
                <w:rFonts w:hint="default" w:ascii="Times New Roman" w:hAnsi="Times New Roman" w:cs="Times New Roman"/>
                <w:sz w:val="24"/>
                <w:szCs w:val="24"/>
                <w:lang w:val="en-US" w:eastAsia="zh-CN"/>
              </w:rPr>
              <w:t>SS</w:t>
            </w:r>
            <w:r>
              <w:rPr>
                <w:rFonts w:hint="default" w:ascii="Times New Roman" w:hAnsi="Times New Roman" w:cs="Times New Roman"/>
                <w:sz w:val="24"/>
                <w:szCs w:val="24"/>
                <w:lang w:eastAsia="zh-CN"/>
              </w:rPr>
              <w:t>最大监测浓度为</w:t>
            </w:r>
            <w:r>
              <w:rPr>
                <w:rFonts w:hint="default" w:ascii="Times New Roman" w:hAnsi="Times New Roman" w:cs="Times New Roman"/>
                <w:sz w:val="24"/>
                <w:szCs w:val="24"/>
                <w:lang w:val="en-US" w:eastAsia="zh-CN"/>
              </w:rPr>
              <w:t>28</w:t>
            </w:r>
            <w:r>
              <w:rPr>
                <w:rFonts w:hint="default" w:ascii="Times New Roman" w:hAnsi="Times New Roman" w:cs="Times New Roman"/>
                <w:sz w:val="24"/>
                <w:szCs w:val="24"/>
                <w:lang w:eastAsia="zh-CN"/>
              </w:rPr>
              <w:t>mg/L，硫化物和石油类未检出，脱硫塔废水排口验收监测期间各监测因子浓度均符合</w:t>
            </w:r>
            <w:r>
              <w:rPr>
                <w:rFonts w:hint="eastAsia" w:ascii="Times New Roman" w:hAnsi="Times New Roman" w:cs="Times New Roman"/>
                <w:sz w:val="24"/>
                <w:szCs w:val="24"/>
                <w:lang w:eastAsia="zh-CN"/>
              </w:rPr>
              <w:t>厂区污水处理站接纳</w:t>
            </w:r>
            <w:r>
              <w:rPr>
                <w:rFonts w:hint="default" w:ascii="Times New Roman" w:hAnsi="Times New Roman" w:cs="Times New Roman"/>
                <w:sz w:val="24"/>
                <w:szCs w:val="24"/>
                <w:lang w:eastAsia="zh-CN"/>
              </w:rPr>
              <w:t>排放标准。</w:t>
            </w:r>
            <w:r>
              <w:rPr>
                <w:rFonts w:hint="default" w:ascii="Times New Roman" w:hAnsi="Times New Roman" w:eastAsia="宋体" w:cs="Times New Roman"/>
                <w:color w:val="auto"/>
                <w:spacing w:val="-4"/>
                <w:sz w:val="24"/>
                <w:szCs w:val="24"/>
                <w:lang w:val="en-US" w:eastAsia="zh-CN"/>
              </w:rPr>
              <w:t>根据</w:t>
            </w:r>
            <w:r>
              <w:rPr>
                <w:rFonts w:hint="eastAsia" w:ascii="Times New Roman" w:hAnsi="Times New Roman" w:eastAsia="宋体" w:cs="Times New Roman"/>
                <w:color w:val="auto"/>
                <w:spacing w:val="-4"/>
                <w:sz w:val="24"/>
                <w:szCs w:val="24"/>
                <w:lang w:val="en-US" w:eastAsia="zh-CN"/>
              </w:rPr>
              <w:t>在线</w:t>
            </w:r>
            <w:r>
              <w:rPr>
                <w:rFonts w:hint="default" w:ascii="Times New Roman" w:hAnsi="Times New Roman" w:eastAsia="宋体" w:cs="Times New Roman"/>
                <w:color w:val="auto"/>
                <w:spacing w:val="-4"/>
                <w:sz w:val="24"/>
                <w:szCs w:val="24"/>
                <w:lang w:val="en-US" w:eastAsia="zh-CN"/>
              </w:rPr>
              <w:t>监测结果</w:t>
            </w:r>
            <w:r>
              <w:rPr>
                <w:rFonts w:hint="eastAsia" w:ascii="Times New Roman" w:hAnsi="Times New Roman" w:eastAsia="宋体" w:cs="Times New Roman"/>
                <w:color w:val="auto"/>
                <w:spacing w:val="-4"/>
                <w:sz w:val="24"/>
                <w:szCs w:val="24"/>
                <w:lang w:val="en-US" w:eastAsia="zh-CN"/>
              </w:rPr>
              <w:t>可知</w:t>
            </w:r>
            <w:r>
              <w:rPr>
                <w:rFonts w:hint="default" w:ascii="Times New Roman" w:hAnsi="Times New Roman" w:eastAsia="宋体" w:cs="Times New Roman"/>
                <w:color w:val="auto"/>
                <w:spacing w:val="-4"/>
                <w:sz w:val="24"/>
                <w:szCs w:val="24"/>
                <w:lang w:val="en-US" w:eastAsia="zh-CN"/>
              </w:rPr>
              <w:t>，</w:t>
            </w:r>
            <w:r>
              <w:rPr>
                <w:rFonts w:hint="eastAsia" w:ascii="Times New Roman" w:hAnsi="Times New Roman" w:eastAsia="宋体" w:cs="Times New Roman"/>
                <w:color w:val="auto"/>
                <w:spacing w:val="-4"/>
                <w:sz w:val="24"/>
                <w:szCs w:val="24"/>
                <w:lang w:val="en-US" w:eastAsia="zh-CN"/>
              </w:rPr>
              <w:t>验收期间，</w:t>
            </w:r>
            <w:r>
              <w:rPr>
                <w:rFonts w:hint="default" w:ascii="Times New Roman" w:hAnsi="Times New Roman" w:eastAsia="宋体" w:cs="Times New Roman"/>
                <w:color w:val="auto"/>
                <w:spacing w:val="-4"/>
                <w:sz w:val="24"/>
                <w:szCs w:val="24"/>
                <w:lang w:val="en-US" w:eastAsia="zh-CN"/>
              </w:rPr>
              <w:t>厂区</w:t>
            </w:r>
            <w:r>
              <w:rPr>
                <w:rFonts w:hint="eastAsia" w:ascii="Times New Roman" w:hAnsi="Times New Roman" w:eastAsia="宋体" w:cs="Times New Roman"/>
                <w:color w:val="auto"/>
                <w:spacing w:val="-4"/>
                <w:sz w:val="24"/>
                <w:szCs w:val="24"/>
                <w:lang w:val="en-US" w:eastAsia="zh-CN"/>
              </w:rPr>
              <w:t>自建污水处理站废水中</w:t>
            </w:r>
            <w:r>
              <w:rPr>
                <w:rFonts w:hint="default" w:ascii="Times New Roman" w:hAnsi="Times New Roman" w:eastAsia="宋体" w:cs="Times New Roman"/>
                <w:color w:val="auto"/>
                <w:spacing w:val="-4"/>
                <w:sz w:val="24"/>
                <w:szCs w:val="24"/>
                <w:lang w:val="en-US" w:eastAsia="zh-CN"/>
              </w:rPr>
              <w:t>各监测因子浓度均符合《石油化学工业污染物排放标准》(GB 31571-2015)标准限值。</w:t>
            </w:r>
          </w:p>
          <w:p>
            <w:pPr>
              <w:pStyle w:val="2"/>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（3）噪声验收监测结论</w:t>
            </w:r>
          </w:p>
          <w:p>
            <w:pPr>
              <w:pStyle w:val="2"/>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项目验收监测期间，厂界四周昼间最大噪声值为</w:t>
            </w:r>
            <w:r>
              <w:rPr>
                <w:rFonts w:hint="eastAsia" w:ascii="Times New Roman" w:hAnsi="Times New Roman" w:cs="Times New Roman"/>
                <w:sz w:val="24"/>
                <w:szCs w:val="24"/>
                <w:lang w:val="en-US" w:eastAsia="zh-CN"/>
              </w:rPr>
              <w:t>60</w:t>
            </w:r>
            <w:r>
              <w:rPr>
                <w:rFonts w:hint="default" w:ascii="Times New Roman" w:hAnsi="Times New Roman" w:cs="Times New Roman"/>
                <w:sz w:val="24"/>
                <w:szCs w:val="24"/>
                <w:lang w:eastAsia="zh-CN"/>
              </w:rPr>
              <w:t>dB(A)，夜间最大噪声值为</w:t>
            </w:r>
            <w:r>
              <w:rPr>
                <w:rFonts w:hint="default" w:ascii="Times New Roman" w:hAnsi="Times New Roman" w:cs="Times New Roman"/>
                <w:sz w:val="24"/>
                <w:szCs w:val="24"/>
                <w:lang w:val="en-US" w:eastAsia="zh-CN"/>
              </w:rPr>
              <w:t>5</w:t>
            </w:r>
            <w:r>
              <w:rPr>
                <w:rFonts w:hint="eastAsia" w:ascii="Times New Roman" w:hAnsi="Times New Roman" w:cs="Times New Roman"/>
                <w:sz w:val="24"/>
                <w:szCs w:val="24"/>
                <w:lang w:val="en-US" w:eastAsia="zh-CN"/>
              </w:rPr>
              <w:t>3</w:t>
            </w:r>
            <w:r>
              <w:rPr>
                <w:rFonts w:hint="default" w:ascii="Times New Roman" w:hAnsi="Times New Roman" w:cs="Times New Roman"/>
                <w:sz w:val="24"/>
                <w:szCs w:val="24"/>
                <w:lang w:eastAsia="zh-CN"/>
              </w:rPr>
              <w:t>dB(A)，均能达到《工业企业厂界环境噪声排放标准》（GB12348-2008）中3类标准。</w:t>
            </w:r>
          </w:p>
          <w:p>
            <w:pPr>
              <w:pStyle w:val="2"/>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（4）固废验收调查结论</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运营期无固体废物产生。项目不产生危险废物，所有固体废物均按照《一般工业固体废物贮存、处置场污染控制标准》( GB18599-</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2001 )及修改单中有关规定进行安全有效处理。</w:t>
            </w:r>
            <w:r>
              <w:rPr>
                <w:rFonts w:hint="eastAsia" w:ascii="Times New Roman" w:hAnsi="Times New Roman" w:cs="Times New Roman"/>
                <w:sz w:val="24"/>
                <w:szCs w:val="24"/>
                <w:lang w:eastAsia="zh-CN"/>
              </w:rPr>
              <w:t>项目未产生固废</w:t>
            </w:r>
            <w:r>
              <w:rPr>
                <w:rFonts w:hint="default" w:ascii="Times New Roman" w:hAnsi="Times New Roman" w:cs="Times New Roman"/>
                <w:sz w:val="24"/>
                <w:szCs w:val="24"/>
                <w:lang w:eastAsia="zh-CN"/>
              </w:rPr>
              <w:t>，未对周边环境造成影响。</w:t>
            </w:r>
          </w:p>
          <w:p>
            <w:pPr>
              <w:pStyle w:val="2"/>
              <w:keepNext w:val="0"/>
              <w:keepLines w:val="0"/>
              <w:pageBreakBefore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val="en-US" w:eastAsia="zh-CN"/>
              </w:rPr>
              <w:t>3</w:t>
            </w:r>
            <w:r>
              <w:rPr>
                <w:rFonts w:hint="default" w:ascii="Times New Roman" w:hAnsi="Times New Roman" w:cs="Times New Roman"/>
                <w:sz w:val="24"/>
                <w:szCs w:val="24"/>
                <w:lang w:eastAsia="zh-CN"/>
              </w:rPr>
              <w:t>、总结论</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val="en-US" w:eastAsia="zh-CN"/>
              </w:rPr>
              <w:t>本项目污染防治设施和环境管理制度完善，监测数据显示验收监测期间各项污染物均能达标排放</w:t>
            </w:r>
            <w:r>
              <w:rPr>
                <w:rFonts w:hint="default" w:ascii="Times New Roman" w:hAnsi="Times New Roman" w:cs="Times New Roman"/>
                <w:sz w:val="24"/>
                <w:szCs w:val="24"/>
                <w:lang w:eastAsia="zh-CN"/>
              </w:rPr>
              <w:t>。</w:t>
            </w:r>
          </w:p>
          <w:p>
            <w:pPr>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综上分析，本项目的建设履行了环境影响评价审批手续，按照环评环保设计进行了环保设施的建设，目前各项环保设施运转状况基本正常。项目已按环评及批复要求进行了环境保护设施建设，根据监测结果可满足相关环境排放标准要求，对环境影响较小，符合竣工环境保护验收条件。</w:t>
            </w:r>
          </w:p>
          <w:p>
            <w:pPr>
              <w:pStyle w:val="2"/>
              <w:keepNext w:val="0"/>
              <w:keepLines w:val="0"/>
              <w:pageBreakBefore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cs="Times New Roman"/>
                <w:sz w:val="24"/>
                <w:szCs w:val="24"/>
                <w:lang w:eastAsia="zh-CN"/>
              </w:rPr>
            </w:pPr>
          </w:p>
          <w:p>
            <w:pPr>
              <w:jc w:val="both"/>
              <w:rPr>
                <w:rFonts w:hint="default" w:ascii="Times New Roman" w:hAnsi="Times New Roman" w:cs="Times New Roman"/>
                <w:sz w:val="24"/>
                <w:szCs w:val="24"/>
                <w:lang w:val="en-US" w:eastAsia="zh-CN"/>
              </w:rPr>
            </w:pPr>
          </w:p>
          <w:p>
            <w:pPr>
              <w:pStyle w:val="2"/>
              <w:spacing w:line="360" w:lineRule="auto"/>
              <w:ind w:firstLine="480" w:firstLineChars="200"/>
              <w:jc w:val="both"/>
              <w:rPr>
                <w:rFonts w:hint="default" w:ascii="Times New Roman" w:hAnsi="Times New Roman" w:cs="Times New Roman"/>
                <w:sz w:val="24"/>
                <w:szCs w:val="24"/>
                <w:lang w:eastAsia="zh-CN"/>
              </w:rPr>
            </w:pPr>
          </w:p>
          <w:p>
            <w:pPr>
              <w:pStyle w:val="3"/>
              <w:rPr>
                <w:rFonts w:hint="default" w:ascii="Times New Roman" w:hAnsi="Times New Roman" w:cs="Times New Roman"/>
                <w:sz w:val="24"/>
                <w:szCs w:val="24"/>
                <w:lang w:eastAsia="zh-CN"/>
              </w:rPr>
            </w:pPr>
          </w:p>
          <w:p>
            <w:pPr>
              <w:pStyle w:val="3"/>
              <w:rPr>
                <w:rFonts w:hint="default" w:ascii="Times New Roman" w:hAnsi="Times New Roman" w:cs="Times New Roman"/>
                <w:sz w:val="24"/>
                <w:szCs w:val="24"/>
                <w:lang w:eastAsia="zh-CN"/>
              </w:rPr>
            </w:pPr>
          </w:p>
          <w:p>
            <w:pPr>
              <w:pStyle w:val="3"/>
              <w:rPr>
                <w:rFonts w:hint="default" w:ascii="Times New Roman" w:hAnsi="Times New Roman" w:cs="Times New Roman"/>
                <w:sz w:val="24"/>
                <w:szCs w:val="24"/>
                <w:lang w:eastAsia="zh-CN"/>
              </w:rPr>
            </w:pPr>
          </w:p>
          <w:p>
            <w:pPr>
              <w:pStyle w:val="3"/>
              <w:rPr>
                <w:rFonts w:hint="default" w:ascii="Times New Roman" w:hAnsi="Times New Roman" w:cs="Times New Roman"/>
                <w:sz w:val="24"/>
                <w:szCs w:val="24"/>
                <w:lang w:eastAsia="zh-CN"/>
              </w:rPr>
            </w:pPr>
          </w:p>
          <w:p>
            <w:pPr>
              <w:pStyle w:val="3"/>
              <w:rPr>
                <w:rFonts w:hint="default" w:ascii="Times New Roman" w:hAnsi="Times New Roman" w:cs="Times New Roman"/>
                <w:sz w:val="24"/>
                <w:szCs w:val="24"/>
                <w:lang w:eastAsia="zh-CN"/>
              </w:rPr>
            </w:pPr>
          </w:p>
          <w:p>
            <w:pPr>
              <w:pStyle w:val="3"/>
              <w:rPr>
                <w:rFonts w:hint="default" w:ascii="Times New Roman" w:hAnsi="Times New Roman" w:cs="Times New Roman"/>
                <w:sz w:val="24"/>
                <w:szCs w:val="24"/>
                <w:lang w:eastAsia="zh-CN"/>
              </w:rPr>
            </w:pPr>
          </w:p>
          <w:p>
            <w:pPr>
              <w:pStyle w:val="3"/>
              <w:rPr>
                <w:rFonts w:hint="default" w:ascii="Times New Roman" w:hAnsi="Times New Roman" w:cs="Times New Roman"/>
                <w:sz w:val="24"/>
                <w:szCs w:val="24"/>
                <w:lang w:eastAsia="zh-CN"/>
              </w:rPr>
            </w:pPr>
          </w:p>
          <w:p>
            <w:pPr>
              <w:pStyle w:val="3"/>
              <w:rPr>
                <w:rFonts w:hint="default" w:ascii="Times New Roman" w:hAnsi="Times New Roman" w:cs="Times New Roman"/>
                <w:sz w:val="24"/>
                <w:szCs w:val="24"/>
                <w:lang w:eastAsia="zh-CN"/>
              </w:rPr>
            </w:pPr>
          </w:p>
          <w:p>
            <w:pPr>
              <w:pStyle w:val="3"/>
              <w:rPr>
                <w:rFonts w:hint="default" w:ascii="Times New Roman" w:hAnsi="Times New Roman" w:cs="Times New Roman"/>
                <w:sz w:val="24"/>
                <w:szCs w:val="24"/>
                <w:lang w:eastAsia="zh-CN"/>
              </w:rPr>
            </w:pPr>
          </w:p>
          <w:p>
            <w:pPr>
              <w:pStyle w:val="3"/>
              <w:rPr>
                <w:rFonts w:hint="default" w:ascii="Times New Roman" w:hAnsi="Times New Roman" w:cs="Times New Roman"/>
                <w:sz w:val="24"/>
                <w:szCs w:val="24"/>
                <w:lang w:eastAsia="zh-CN"/>
              </w:rPr>
            </w:pPr>
          </w:p>
          <w:p>
            <w:pPr>
              <w:pStyle w:val="3"/>
              <w:jc w:val="both"/>
              <w:rPr>
                <w:rFonts w:hint="default" w:ascii="Times New Roman" w:hAnsi="Times New Roman" w:eastAsia="宋体" w:cs="Times New Roman"/>
                <w:sz w:val="24"/>
                <w:szCs w:val="24"/>
                <w:lang w:eastAsia="zh-CN"/>
              </w:rPr>
            </w:pPr>
          </w:p>
        </w:tc>
      </w:tr>
    </w:tbl>
    <w:p>
      <w:pPr>
        <w:pStyle w:val="19"/>
        <w:keepNext w:val="0"/>
        <w:keepLines w:val="0"/>
        <w:pageBreakBefore w:val="0"/>
        <w:widowControl w:val="0"/>
        <w:kinsoku/>
        <w:wordWrap/>
        <w:overflowPunct/>
        <w:topLinePunct w:val="0"/>
        <w:autoSpaceDE w:val="0"/>
        <w:autoSpaceDN w:val="0"/>
        <w:bidi w:val="0"/>
        <w:adjustRightInd w:val="0"/>
        <w:snapToGrid/>
        <w:spacing w:line="360" w:lineRule="auto"/>
        <w:ind w:firstLine="1440" w:firstLineChars="600"/>
        <w:jc w:val="left"/>
        <w:textAlignment w:val="auto"/>
        <w:outlineLvl w:val="9"/>
        <w:rPr>
          <w:rFonts w:hint="eastAsia" w:eastAsiaTheme="minorEastAsia"/>
          <w:lang w:eastAsia="zh-CN"/>
        </w:rPr>
      </w:pPr>
    </w:p>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77631304"/>
      <w:docPartObj>
        <w:docPartGallery w:val="autotext"/>
      </w:docPartObj>
    </w:sdtPr>
    <w:sdtEndPr>
      <w:rPr>
        <w:rFonts w:ascii="Times New Roman" w:hAnsi="Times New Roman" w:cs="Times New Roman"/>
      </w:rPr>
    </w:sdtEndPr>
    <w:sdtContent>
      <w:p>
        <w:pPr>
          <w:pStyle w:val="12"/>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eastAsia="zh-CN"/>
          </w:rPr>
          <w:t>2</w:t>
        </w:r>
        <w:r>
          <w:rPr>
            <w:rFonts w:ascii="Times New Roman" w:hAnsi="Times New Roman" w:cs="Times New Roma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lang w:eastAsia="zh-CN"/>
      </w:rPr>
    </w:pPr>
    <w:r>
      <w:rPr>
        <w:rFonts w:hint="eastAsia"/>
        <w:spacing w:val="-2"/>
        <w:szCs w:val="21"/>
        <w:lang w:eastAsia="zh-CN"/>
      </w:rPr>
      <w:t>岳阳安泰实业有限公司纸制品加工项目</w:t>
    </w:r>
    <w:r>
      <w:rPr>
        <w:rFonts w:hint="eastAsia"/>
        <w:lang w:eastAsia="zh-CN"/>
      </w:rPr>
      <w:t>竣工环保验收监测报告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jc w:val="center"/>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D73A26"/>
    <w:multiLevelType w:val="singleLevel"/>
    <w:tmpl w:val="90D73A26"/>
    <w:lvl w:ilvl="0" w:tentative="0">
      <w:start w:val="1"/>
      <w:numFmt w:val="decimal"/>
      <w:suff w:val="nothing"/>
      <w:lvlText w:val="%1、"/>
      <w:lvlJc w:val="left"/>
    </w:lvl>
  </w:abstractNum>
  <w:abstractNum w:abstractNumId="1">
    <w:nsid w:val="F9AD99BC"/>
    <w:multiLevelType w:val="singleLevel"/>
    <w:tmpl w:val="F9AD99BC"/>
    <w:lvl w:ilvl="0" w:tentative="0">
      <w:start w:val="1"/>
      <w:numFmt w:val="decimal"/>
      <w:suff w:val="space"/>
      <w:lvlText w:val="%1."/>
      <w:lvlJc w:val="left"/>
    </w:lvl>
  </w:abstractNum>
  <w:abstractNum w:abstractNumId="2">
    <w:nsid w:val="0E1EAC28"/>
    <w:multiLevelType w:val="singleLevel"/>
    <w:tmpl w:val="0E1EAC28"/>
    <w:lvl w:ilvl="0" w:tentative="0">
      <w:start w:val="1"/>
      <w:numFmt w:val="decimal"/>
      <w:suff w:val="nothing"/>
      <w:lvlText w:val="%1、"/>
      <w:lvlJc w:val="left"/>
    </w:lvl>
  </w:abstractNum>
  <w:abstractNum w:abstractNumId="3">
    <w:nsid w:val="1BBBA6CF"/>
    <w:multiLevelType w:val="singleLevel"/>
    <w:tmpl w:val="1BBBA6CF"/>
    <w:lvl w:ilvl="0" w:tentative="0">
      <w:start w:val="2"/>
      <w:numFmt w:val="decimal"/>
      <w:suff w:val="nothing"/>
      <w:lvlText w:val="（%1）"/>
      <w:lvlJc w:val="left"/>
    </w:lvl>
  </w:abstractNum>
  <w:abstractNum w:abstractNumId="4">
    <w:nsid w:val="6A4B3442"/>
    <w:multiLevelType w:val="singleLevel"/>
    <w:tmpl w:val="6A4B3442"/>
    <w:lvl w:ilvl="0" w:tentative="0">
      <w:start w:val="5"/>
      <w:numFmt w:val="chineseCounting"/>
      <w:suff w:val="nothing"/>
      <w:lvlText w:val="%1、"/>
      <w:lvlJc w:val="left"/>
      <w:rPr>
        <w:rFonts w:hint="eastAsia"/>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4D8"/>
    <w:rsid w:val="00001553"/>
    <w:rsid w:val="0002477C"/>
    <w:rsid w:val="00040316"/>
    <w:rsid w:val="000467A4"/>
    <w:rsid w:val="00057D07"/>
    <w:rsid w:val="00094AA5"/>
    <w:rsid w:val="000A4F55"/>
    <w:rsid w:val="0011210C"/>
    <w:rsid w:val="0011371B"/>
    <w:rsid w:val="00124127"/>
    <w:rsid w:val="0015332B"/>
    <w:rsid w:val="00180232"/>
    <w:rsid w:val="00235EE4"/>
    <w:rsid w:val="002449D0"/>
    <w:rsid w:val="002A00C5"/>
    <w:rsid w:val="002B3645"/>
    <w:rsid w:val="002F3E81"/>
    <w:rsid w:val="00316DD9"/>
    <w:rsid w:val="003262B4"/>
    <w:rsid w:val="00337A1E"/>
    <w:rsid w:val="003828D4"/>
    <w:rsid w:val="003831C1"/>
    <w:rsid w:val="0040783A"/>
    <w:rsid w:val="0042391F"/>
    <w:rsid w:val="00450403"/>
    <w:rsid w:val="00463744"/>
    <w:rsid w:val="00467D73"/>
    <w:rsid w:val="00472F13"/>
    <w:rsid w:val="004B2DC1"/>
    <w:rsid w:val="004B4C2F"/>
    <w:rsid w:val="005114DE"/>
    <w:rsid w:val="00516780"/>
    <w:rsid w:val="005D22C3"/>
    <w:rsid w:val="005E0FA0"/>
    <w:rsid w:val="005E5B4B"/>
    <w:rsid w:val="00606EAE"/>
    <w:rsid w:val="00710251"/>
    <w:rsid w:val="00750094"/>
    <w:rsid w:val="00750402"/>
    <w:rsid w:val="007A6B1B"/>
    <w:rsid w:val="007C34A6"/>
    <w:rsid w:val="007D4EBF"/>
    <w:rsid w:val="007E5189"/>
    <w:rsid w:val="008537EF"/>
    <w:rsid w:val="008726B9"/>
    <w:rsid w:val="008875DF"/>
    <w:rsid w:val="008B0C2E"/>
    <w:rsid w:val="008B0D0B"/>
    <w:rsid w:val="008C7567"/>
    <w:rsid w:val="008E77A8"/>
    <w:rsid w:val="00913775"/>
    <w:rsid w:val="00944913"/>
    <w:rsid w:val="0099623D"/>
    <w:rsid w:val="00997DE6"/>
    <w:rsid w:val="009E500E"/>
    <w:rsid w:val="00A63783"/>
    <w:rsid w:val="00AA5225"/>
    <w:rsid w:val="00B15FC5"/>
    <w:rsid w:val="00B4553B"/>
    <w:rsid w:val="00B55022"/>
    <w:rsid w:val="00B61A0D"/>
    <w:rsid w:val="00B838B5"/>
    <w:rsid w:val="00BC27B0"/>
    <w:rsid w:val="00BD293E"/>
    <w:rsid w:val="00BD5A58"/>
    <w:rsid w:val="00BF3EC4"/>
    <w:rsid w:val="00BF42E5"/>
    <w:rsid w:val="00C17821"/>
    <w:rsid w:val="00C21B87"/>
    <w:rsid w:val="00C24112"/>
    <w:rsid w:val="00C37F78"/>
    <w:rsid w:val="00C624D8"/>
    <w:rsid w:val="00C85F42"/>
    <w:rsid w:val="00CF447C"/>
    <w:rsid w:val="00CF5E8F"/>
    <w:rsid w:val="00D32743"/>
    <w:rsid w:val="00DC1421"/>
    <w:rsid w:val="00DC6D5A"/>
    <w:rsid w:val="00DE7B2C"/>
    <w:rsid w:val="00E27BF7"/>
    <w:rsid w:val="00E5524F"/>
    <w:rsid w:val="00ED20E2"/>
    <w:rsid w:val="00EE7133"/>
    <w:rsid w:val="00F056CA"/>
    <w:rsid w:val="00F34872"/>
    <w:rsid w:val="00F617B5"/>
    <w:rsid w:val="00F67804"/>
    <w:rsid w:val="00F860BA"/>
    <w:rsid w:val="00F97DEF"/>
    <w:rsid w:val="00FB62FD"/>
    <w:rsid w:val="00FF131B"/>
    <w:rsid w:val="01132519"/>
    <w:rsid w:val="0134437D"/>
    <w:rsid w:val="0160223D"/>
    <w:rsid w:val="01860A99"/>
    <w:rsid w:val="018E0202"/>
    <w:rsid w:val="0191014F"/>
    <w:rsid w:val="019B50E3"/>
    <w:rsid w:val="01C37E48"/>
    <w:rsid w:val="02101880"/>
    <w:rsid w:val="02154FAD"/>
    <w:rsid w:val="02293B80"/>
    <w:rsid w:val="024332AD"/>
    <w:rsid w:val="02512588"/>
    <w:rsid w:val="02756324"/>
    <w:rsid w:val="02AE378F"/>
    <w:rsid w:val="02D16DCC"/>
    <w:rsid w:val="02EC2E11"/>
    <w:rsid w:val="02EC5404"/>
    <w:rsid w:val="031117E6"/>
    <w:rsid w:val="032C2A07"/>
    <w:rsid w:val="03416E9F"/>
    <w:rsid w:val="035360C6"/>
    <w:rsid w:val="03824C42"/>
    <w:rsid w:val="03967481"/>
    <w:rsid w:val="039C2999"/>
    <w:rsid w:val="03B14ED8"/>
    <w:rsid w:val="03C03DC2"/>
    <w:rsid w:val="03E24670"/>
    <w:rsid w:val="03E31EC1"/>
    <w:rsid w:val="03E85AE9"/>
    <w:rsid w:val="03E96E2D"/>
    <w:rsid w:val="03EC5A74"/>
    <w:rsid w:val="03F61082"/>
    <w:rsid w:val="040075CF"/>
    <w:rsid w:val="041823DE"/>
    <w:rsid w:val="042846E8"/>
    <w:rsid w:val="042B7F73"/>
    <w:rsid w:val="044378E7"/>
    <w:rsid w:val="047526F2"/>
    <w:rsid w:val="04753046"/>
    <w:rsid w:val="04766C81"/>
    <w:rsid w:val="04785A0E"/>
    <w:rsid w:val="04A05235"/>
    <w:rsid w:val="04C15C61"/>
    <w:rsid w:val="04C84715"/>
    <w:rsid w:val="04E50BEB"/>
    <w:rsid w:val="04F53CCC"/>
    <w:rsid w:val="04F639ED"/>
    <w:rsid w:val="04FE0680"/>
    <w:rsid w:val="050B158A"/>
    <w:rsid w:val="051C6F77"/>
    <w:rsid w:val="05530BE1"/>
    <w:rsid w:val="055A64B7"/>
    <w:rsid w:val="05626576"/>
    <w:rsid w:val="05790DF2"/>
    <w:rsid w:val="05893AA5"/>
    <w:rsid w:val="05AA55EA"/>
    <w:rsid w:val="05AD4D5A"/>
    <w:rsid w:val="05AF18B6"/>
    <w:rsid w:val="05EA5284"/>
    <w:rsid w:val="061A6DD7"/>
    <w:rsid w:val="0630796A"/>
    <w:rsid w:val="063E1689"/>
    <w:rsid w:val="06517A4D"/>
    <w:rsid w:val="066C36AB"/>
    <w:rsid w:val="067A28D9"/>
    <w:rsid w:val="06CA4EAB"/>
    <w:rsid w:val="06CC1135"/>
    <w:rsid w:val="07072E74"/>
    <w:rsid w:val="071E5EE9"/>
    <w:rsid w:val="0722296E"/>
    <w:rsid w:val="0729658C"/>
    <w:rsid w:val="073A3DC5"/>
    <w:rsid w:val="073F5A61"/>
    <w:rsid w:val="075D7A91"/>
    <w:rsid w:val="076E276E"/>
    <w:rsid w:val="07755019"/>
    <w:rsid w:val="0783692F"/>
    <w:rsid w:val="07974487"/>
    <w:rsid w:val="0798424D"/>
    <w:rsid w:val="07AC757A"/>
    <w:rsid w:val="07D12A01"/>
    <w:rsid w:val="07D224C9"/>
    <w:rsid w:val="07E3107F"/>
    <w:rsid w:val="07ED1F21"/>
    <w:rsid w:val="07EE26FE"/>
    <w:rsid w:val="08581EAF"/>
    <w:rsid w:val="085A18BE"/>
    <w:rsid w:val="08611201"/>
    <w:rsid w:val="08647989"/>
    <w:rsid w:val="08666CC3"/>
    <w:rsid w:val="086D2C92"/>
    <w:rsid w:val="087A01F3"/>
    <w:rsid w:val="087D4335"/>
    <w:rsid w:val="08911B8E"/>
    <w:rsid w:val="08B62BB8"/>
    <w:rsid w:val="08C971A9"/>
    <w:rsid w:val="08CC094F"/>
    <w:rsid w:val="08E727B3"/>
    <w:rsid w:val="08F61AF4"/>
    <w:rsid w:val="09123C24"/>
    <w:rsid w:val="093A588B"/>
    <w:rsid w:val="093C4080"/>
    <w:rsid w:val="098C29B8"/>
    <w:rsid w:val="0998384B"/>
    <w:rsid w:val="099B6A17"/>
    <w:rsid w:val="09AE7DB4"/>
    <w:rsid w:val="09B82705"/>
    <w:rsid w:val="09D2556F"/>
    <w:rsid w:val="09E23759"/>
    <w:rsid w:val="0A1D1EEA"/>
    <w:rsid w:val="0A2B2C5B"/>
    <w:rsid w:val="0A38297D"/>
    <w:rsid w:val="0A5C09AE"/>
    <w:rsid w:val="0A6A7D70"/>
    <w:rsid w:val="0AA846F9"/>
    <w:rsid w:val="0AAA1B08"/>
    <w:rsid w:val="0AAC1E49"/>
    <w:rsid w:val="0AB43A22"/>
    <w:rsid w:val="0AC82010"/>
    <w:rsid w:val="0ACC766B"/>
    <w:rsid w:val="0AD83D39"/>
    <w:rsid w:val="0ADE1D72"/>
    <w:rsid w:val="0AE83AA2"/>
    <w:rsid w:val="0B0138F6"/>
    <w:rsid w:val="0B0C5825"/>
    <w:rsid w:val="0B227E47"/>
    <w:rsid w:val="0B292192"/>
    <w:rsid w:val="0B4446C9"/>
    <w:rsid w:val="0B501A7F"/>
    <w:rsid w:val="0B952597"/>
    <w:rsid w:val="0B984C70"/>
    <w:rsid w:val="0B9C341B"/>
    <w:rsid w:val="0BA64C90"/>
    <w:rsid w:val="0BEB747B"/>
    <w:rsid w:val="0BF31A39"/>
    <w:rsid w:val="0C2A55C6"/>
    <w:rsid w:val="0C6E575A"/>
    <w:rsid w:val="0C783E5E"/>
    <w:rsid w:val="0C7B5808"/>
    <w:rsid w:val="0C7F4819"/>
    <w:rsid w:val="0C8F1727"/>
    <w:rsid w:val="0CCD52C2"/>
    <w:rsid w:val="0CE65D56"/>
    <w:rsid w:val="0CED7EF0"/>
    <w:rsid w:val="0D0F5C61"/>
    <w:rsid w:val="0D40039F"/>
    <w:rsid w:val="0D591EF8"/>
    <w:rsid w:val="0D722D0B"/>
    <w:rsid w:val="0D723BCA"/>
    <w:rsid w:val="0DA42B86"/>
    <w:rsid w:val="0DDB6109"/>
    <w:rsid w:val="0DE939CC"/>
    <w:rsid w:val="0DED04FA"/>
    <w:rsid w:val="0DFE3F26"/>
    <w:rsid w:val="0E366F3A"/>
    <w:rsid w:val="0E3F4DBF"/>
    <w:rsid w:val="0E5110C2"/>
    <w:rsid w:val="0E5E3E9C"/>
    <w:rsid w:val="0E664FB1"/>
    <w:rsid w:val="0E68513F"/>
    <w:rsid w:val="0E6F1E85"/>
    <w:rsid w:val="0E7744E5"/>
    <w:rsid w:val="0E7B5515"/>
    <w:rsid w:val="0E90047C"/>
    <w:rsid w:val="0E963A9C"/>
    <w:rsid w:val="0EB466E2"/>
    <w:rsid w:val="0EB869A9"/>
    <w:rsid w:val="0EBF346A"/>
    <w:rsid w:val="0ECA0DFE"/>
    <w:rsid w:val="0ECB7C5E"/>
    <w:rsid w:val="0ED32B7F"/>
    <w:rsid w:val="0EF03B7D"/>
    <w:rsid w:val="0EF453D0"/>
    <w:rsid w:val="0EF77263"/>
    <w:rsid w:val="0F286C66"/>
    <w:rsid w:val="0F380588"/>
    <w:rsid w:val="0F4571D4"/>
    <w:rsid w:val="0F497007"/>
    <w:rsid w:val="0F524344"/>
    <w:rsid w:val="0F877E67"/>
    <w:rsid w:val="0F8F0F52"/>
    <w:rsid w:val="0F9763F3"/>
    <w:rsid w:val="0FBD695D"/>
    <w:rsid w:val="0FD255C6"/>
    <w:rsid w:val="0FDF08D3"/>
    <w:rsid w:val="0FE673F7"/>
    <w:rsid w:val="0FF2615C"/>
    <w:rsid w:val="100D03DE"/>
    <w:rsid w:val="100D04D9"/>
    <w:rsid w:val="10417C4D"/>
    <w:rsid w:val="105B3D24"/>
    <w:rsid w:val="10606096"/>
    <w:rsid w:val="10B43689"/>
    <w:rsid w:val="10D432DA"/>
    <w:rsid w:val="10DD62D6"/>
    <w:rsid w:val="10E651AB"/>
    <w:rsid w:val="10F1471E"/>
    <w:rsid w:val="10F62836"/>
    <w:rsid w:val="10F669D0"/>
    <w:rsid w:val="1119002F"/>
    <w:rsid w:val="11221F1B"/>
    <w:rsid w:val="1137071F"/>
    <w:rsid w:val="1140581C"/>
    <w:rsid w:val="114734E7"/>
    <w:rsid w:val="11554362"/>
    <w:rsid w:val="11631BB3"/>
    <w:rsid w:val="11687C69"/>
    <w:rsid w:val="11770443"/>
    <w:rsid w:val="118862FE"/>
    <w:rsid w:val="11AB6185"/>
    <w:rsid w:val="11AC7E83"/>
    <w:rsid w:val="11AE6B3A"/>
    <w:rsid w:val="11B25739"/>
    <w:rsid w:val="11B430B3"/>
    <w:rsid w:val="11BB1304"/>
    <w:rsid w:val="11D35331"/>
    <w:rsid w:val="11DE4FF2"/>
    <w:rsid w:val="11EC5C11"/>
    <w:rsid w:val="121277F3"/>
    <w:rsid w:val="121D0988"/>
    <w:rsid w:val="1238206E"/>
    <w:rsid w:val="123D4E2A"/>
    <w:rsid w:val="12534407"/>
    <w:rsid w:val="12A158DB"/>
    <w:rsid w:val="12E7083E"/>
    <w:rsid w:val="12F72F47"/>
    <w:rsid w:val="13017267"/>
    <w:rsid w:val="13041381"/>
    <w:rsid w:val="13136AAB"/>
    <w:rsid w:val="1332292D"/>
    <w:rsid w:val="138D03FC"/>
    <w:rsid w:val="13C618CA"/>
    <w:rsid w:val="13CE77CE"/>
    <w:rsid w:val="13EE77DA"/>
    <w:rsid w:val="13F52DB8"/>
    <w:rsid w:val="140D22C1"/>
    <w:rsid w:val="141036E2"/>
    <w:rsid w:val="14357C62"/>
    <w:rsid w:val="145066E8"/>
    <w:rsid w:val="14642445"/>
    <w:rsid w:val="147621DE"/>
    <w:rsid w:val="14B22DEF"/>
    <w:rsid w:val="14C071A2"/>
    <w:rsid w:val="14D3415C"/>
    <w:rsid w:val="14F7568D"/>
    <w:rsid w:val="1509489E"/>
    <w:rsid w:val="150E2BA1"/>
    <w:rsid w:val="1514355B"/>
    <w:rsid w:val="152053AD"/>
    <w:rsid w:val="1522104E"/>
    <w:rsid w:val="158530A1"/>
    <w:rsid w:val="15866EC6"/>
    <w:rsid w:val="15AD0420"/>
    <w:rsid w:val="15B256E6"/>
    <w:rsid w:val="15B55F60"/>
    <w:rsid w:val="15B638EF"/>
    <w:rsid w:val="15C3108E"/>
    <w:rsid w:val="15DA5F38"/>
    <w:rsid w:val="161F2903"/>
    <w:rsid w:val="16327F35"/>
    <w:rsid w:val="163533FE"/>
    <w:rsid w:val="164A0994"/>
    <w:rsid w:val="168C2966"/>
    <w:rsid w:val="168E7D5F"/>
    <w:rsid w:val="169071DC"/>
    <w:rsid w:val="16A14E38"/>
    <w:rsid w:val="16A41B7E"/>
    <w:rsid w:val="16C64E86"/>
    <w:rsid w:val="16C72BDD"/>
    <w:rsid w:val="16D401EB"/>
    <w:rsid w:val="16F41927"/>
    <w:rsid w:val="16F93840"/>
    <w:rsid w:val="1705072B"/>
    <w:rsid w:val="170B6D6B"/>
    <w:rsid w:val="171B22CC"/>
    <w:rsid w:val="171C1922"/>
    <w:rsid w:val="17264626"/>
    <w:rsid w:val="172B4B5A"/>
    <w:rsid w:val="173503D8"/>
    <w:rsid w:val="17717A08"/>
    <w:rsid w:val="1774645F"/>
    <w:rsid w:val="178005A3"/>
    <w:rsid w:val="178F06C9"/>
    <w:rsid w:val="17AC249A"/>
    <w:rsid w:val="17AE6613"/>
    <w:rsid w:val="17B91FAA"/>
    <w:rsid w:val="17BD7402"/>
    <w:rsid w:val="17C16A1D"/>
    <w:rsid w:val="17DC74CB"/>
    <w:rsid w:val="18081178"/>
    <w:rsid w:val="181F20E1"/>
    <w:rsid w:val="18206A88"/>
    <w:rsid w:val="1829739E"/>
    <w:rsid w:val="18306A4C"/>
    <w:rsid w:val="18696E11"/>
    <w:rsid w:val="187A4721"/>
    <w:rsid w:val="1882075E"/>
    <w:rsid w:val="18AC3287"/>
    <w:rsid w:val="18BB09E1"/>
    <w:rsid w:val="18DD5209"/>
    <w:rsid w:val="18F94923"/>
    <w:rsid w:val="18FB43BF"/>
    <w:rsid w:val="19537649"/>
    <w:rsid w:val="195C4803"/>
    <w:rsid w:val="1992418B"/>
    <w:rsid w:val="19937DA5"/>
    <w:rsid w:val="19D7426A"/>
    <w:rsid w:val="19F87B2D"/>
    <w:rsid w:val="19F95771"/>
    <w:rsid w:val="1A2453CF"/>
    <w:rsid w:val="1A4852EC"/>
    <w:rsid w:val="1A774D6C"/>
    <w:rsid w:val="1A8457E9"/>
    <w:rsid w:val="1A9253AB"/>
    <w:rsid w:val="1AA018B2"/>
    <w:rsid w:val="1AAD767B"/>
    <w:rsid w:val="1ABA46CB"/>
    <w:rsid w:val="1AD071BE"/>
    <w:rsid w:val="1AFE7229"/>
    <w:rsid w:val="1B003F61"/>
    <w:rsid w:val="1B2A3480"/>
    <w:rsid w:val="1B332831"/>
    <w:rsid w:val="1B4C2EEF"/>
    <w:rsid w:val="1B924535"/>
    <w:rsid w:val="1B976F7C"/>
    <w:rsid w:val="1BCA5A3E"/>
    <w:rsid w:val="1BDF3120"/>
    <w:rsid w:val="1BE0502C"/>
    <w:rsid w:val="1BE329FD"/>
    <w:rsid w:val="1C2C5E25"/>
    <w:rsid w:val="1C465F1E"/>
    <w:rsid w:val="1C5279AC"/>
    <w:rsid w:val="1C536C44"/>
    <w:rsid w:val="1C631868"/>
    <w:rsid w:val="1C845AFF"/>
    <w:rsid w:val="1C890AFE"/>
    <w:rsid w:val="1CA645A5"/>
    <w:rsid w:val="1CCF510F"/>
    <w:rsid w:val="1CD13EAE"/>
    <w:rsid w:val="1CF311B7"/>
    <w:rsid w:val="1CFD1346"/>
    <w:rsid w:val="1D074305"/>
    <w:rsid w:val="1D204E6A"/>
    <w:rsid w:val="1D3776C1"/>
    <w:rsid w:val="1D573302"/>
    <w:rsid w:val="1D8E59DC"/>
    <w:rsid w:val="1D9F67F2"/>
    <w:rsid w:val="1DAE6BCF"/>
    <w:rsid w:val="1DC17634"/>
    <w:rsid w:val="1DE857E9"/>
    <w:rsid w:val="1DFE30C6"/>
    <w:rsid w:val="1E246071"/>
    <w:rsid w:val="1E2A7ABA"/>
    <w:rsid w:val="1E3E1316"/>
    <w:rsid w:val="1E4B70CF"/>
    <w:rsid w:val="1E5836E8"/>
    <w:rsid w:val="1E6051E6"/>
    <w:rsid w:val="1E91305D"/>
    <w:rsid w:val="1E9339DE"/>
    <w:rsid w:val="1E964361"/>
    <w:rsid w:val="1E9839BC"/>
    <w:rsid w:val="1EB355C6"/>
    <w:rsid w:val="1ECB3FC7"/>
    <w:rsid w:val="1EEA34B3"/>
    <w:rsid w:val="1EFF4237"/>
    <w:rsid w:val="1F0C3212"/>
    <w:rsid w:val="1F2038E1"/>
    <w:rsid w:val="1F336B3F"/>
    <w:rsid w:val="1F530CC1"/>
    <w:rsid w:val="1F765137"/>
    <w:rsid w:val="1F8E51B8"/>
    <w:rsid w:val="1FA62135"/>
    <w:rsid w:val="1FAC4066"/>
    <w:rsid w:val="1FAE1CC5"/>
    <w:rsid w:val="1FB2192A"/>
    <w:rsid w:val="1FC707B5"/>
    <w:rsid w:val="1FDD195B"/>
    <w:rsid w:val="206F2F3B"/>
    <w:rsid w:val="208518D0"/>
    <w:rsid w:val="209C4231"/>
    <w:rsid w:val="20CD612C"/>
    <w:rsid w:val="20F93DBB"/>
    <w:rsid w:val="20FD3061"/>
    <w:rsid w:val="2111060A"/>
    <w:rsid w:val="21282D24"/>
    <w:rsid w:val="21351511"/>
    <w:rsid w:val="21394AAC"/>
    <w:rsid w:val="214109D7"/>
    <w:rsid w:val="21520215"/>
    <w:rsid w:val="216337FF"/>
    <w:rsid w:val="216943CA"/>
    <w:rsid w:val="216D41D3"/>
    <w:rsid w:val="216D6728"/>
    <w:rsid w:val="21CB26F7"/>
    <w:rsid w:val="21D80473"/>
    <w:rsid w:val="21E32113"/>
    <w:rsid w:val="21E36D01"/>
    <w:rsid w:val="22003045"/>
    <w:rsid w:val="221C6D7B"/>
    <w:rsid w:val="22574A18"/>
    <w:rsid w:val="2265437D"/>
    <w:rsid w:val="2272003C"/>
    <w:rsid w:val="228D6022"/>
    <w:rsid w:val="228E3998"/>
    <w:rsid w:val="229D30A6"/>
    <w:rsid w:val="22C57E6A"/>
    <w:rsid w:val="22C81906"/>
    <w:rsid w:val="22FF2738"/>
    <w:rsid w:val="2329273A"/>
    <w:rsid w:val="23356A53"/>
    <w:rsid w:val="233F6D30"/>
    <w:rsid w:val="235B3EE8"/>
    <w:rsid w:val="237C2B7F"/>
    <w:rsid w:val="237D0EF5"/>
    <w:rsid w:val="23990AAD"/>
    <w:rsid w:val="239A7727"/>
    <w:rsid w:val="23A80E85"/>
    <w:rsid w:val="23AF016F"/>
    <w:rsid w:val="23B00B0A"/>
    <w:rsid w:val="23B35FB4"/>
    <w:rsid w:val="23BB4D2D"/>
    <w:rsid w:val="23C84AB5"/>
    <w:rsid w:val="23CB3334"/>
    <w:rsid w:val="23E96DA2"/>
    <w:rsid w:val="24040D31"/>
    <w:rsid w:val="24543832"/>
    <w:rsid w:val="2497357C"/>
    <w:rsid w:val="24A44BE8"/>
    <w:rsid w:val="24AC43C4"/>
    <w:rsid w:val="24B60D18"/>
    <w:rsid w:val="24D1510B"/>
    <w:rsid w:val="24E14DBD"/>
    <w:rsid w:val="24E52603"/>
    <w:rsid w:val="25017BD2"/>
    <w:rsid w:val="25030D1F"/>
    <w:rsid w:val="250D512B"/>
    <w:rsid w:val="250D7D13"/>
    <w:rsid w:val="25432078"/>
    <w:rsid w:val="255E3C90"/>
    <w:rsid w:val="25653825"/>
    <w:rsid w:val="25690394"/>
    <w:rsid w:val="25826D2B"/>
    <w:rsid w:val="25850B02"/>
    <w:rsid w:val="25A54136"/>
    <w:rsid w:val="25E72D83"/>
    <w:rsid w:val="26116D5B"/>
    <w:rsid w:val="26526AF0"/>
    <w:rsid w:val="26535217"/>
    <w:rsid w:val="265465F2"/>
    <w:rsid w:val="26550F1F"/>
    <w:rsid w:val="265B3A02"/>
    <w:rsid w:val="265B5E19"/>
    <w:rsid w:val="267E49D4"/>
    <w:rsid w:val="268329F5"/>
    <w:rsid w:val="26836CE2"/>
    <w:rsid w:val="268A6CB4"/>
    <w:rsid w:val="268D7A8E"/>
    <w:rsid w:val="26A93D75"/>
    <w:rsid w:val="26AB536E"/>
    <w:rsid w:val="26AC47D9"/>
    <w:rsid w:val="26B40643"/>
    <w:rsid w:val="26CC1BDC"/>
    <w:rsid w:val="26CD2730"/>
    <w:rsid w:val="26CF5AE9"/>
    <w:rsid w:val="26D7684B"/>
    <w:rsid w:val="26EA4850"/>
    <w:rsid w:val="26F44C6B"/>
    <w:rsid w:val="26FB262D"/>
    <w:rsid w:val="27034DA3"/>
    <w:rsid w:val="27155C79"/>
    <w:rsid w:val="272320F7"/>
    <w:rsid w:val="27765E98"/>
    <w:rsid w:val="279F7AC6"/>
    <w:rsid w:val="27A04FE9"/>
    <w:rsid w:val="27A7519C"/>
    <w:rsid w:val="27B852E2"/>
    <w:rsid w:val="27D663D6"/>
    <w:rsid w:val="280B7E77"/>
    <w:rsid w:val="28147009"/>
    <w:rsid w:val="283B6B62"/>
    <w:rsid w:val="287676E6"/>
    <w:rsid w:val="28901AD6"/>
    <w:rsid w:val="289D2AAB"/>
    <w:rsid w:val="28A26A3B"/>
    <w:rsid w:val="28BD489D"/>
    <w:rsid w:val="28E52B8B"/>
    <w:rsid w:val="28EC3009"/>
    <w:rsid w:val="28EE193B"/>
    <w:rsid w:val="28F6773A"/>
    <w:rsid w:val="2905144A"/>
    <w:rsid w:val="290912E3"/>
    <w:rsid w:val="29203858"/>
    <w:rsid w:val="293161D0"/>
    <w:rsid w:val="29485CF5"/>
    <w:rsid w:val="295710EE"/>
    <w:rsid w:val="29737847"/>
    <w:rsid w:val="297A4980"/>
    <w:rsid w:val="29971DC2"/>
    <w:rsid w:val="29B0363B"/>
    <w:rsid w:val="29B7568D"/>
    <w:rsid w:val="29C15268"/>
    <w:rsid w:val="29C70AB9"/>
    <w:rsid w:val="29D8310B"/>
    <w:rsid w:val="29E83998"/>
    <w:rsid w:val="29FA045A"/>
    <w:rsid w:val="2A13206C"/>
    <w:rsid w:val="2A325692"/>
    <w:rsid w:val="2A3F5197"/>
    <w:rsid w:val="2A4F7397"/>
    <w:rsid w:val="2A7107DF"/>
    <w:rsid w:val="2A730E0C"/>
    <w:rsid w:val="2A7D78D4"/>
    <w:rsid w:val="2A8135E2"/>
    <w:rsid w:val="2AA855DD"/>
    <w:rsid w:val="2AAA384A"/>
    <w:rsid w:val="2AAC7134"/>
    <w:rsid w:val="2AB83ED9"/>
    <w:rsid w:val="2AC27671"/>
    <w:rsid w:val="2AC70AB8"/>
    <w:rsid w:val="2AD17A91"/>
    <w:rsid w:val="2ADE4528"/>
    <w:rsid w:val="2AF04731"/>
    <w:rsid w:val="2B187E1E"/>
    <w:rsid w:val="2B21591D"/>
    <w:rsid w:val="2B485FDF"/>
    <w:rsid w:val="2B675145"/>
    <w:rsid w:val="2B955594"/>
    <w:rsid w:val="2BA2396D"/>
    <w:rsid w:val="2BA24517"/>
    <w:rsid w:val="2BC64C70"/>
    <w:rsid w:val="2BCC218F"/>
    <w:rsid w:val="2C235597"/>
    <w:rsid w:val="2C3D498D"/>
    <w:rsid w:val="2C3F2C24"/>
    <w:rsid w:val="2C8C04EB"/>
    <w:rsid w:val="2C8F0639"/>
    <w:rsid w:val="2CA75B81"/>
    <w:rsid w:val="2CBE4B9C"/>
    <w:rsid w:val="2CC803A8"/>
    <w:rsid w:val="2CF57E33"/>
    <w:rsid w:val="2D1902E2"/>
    <w:rsid w:val="2D1A33DC"/>
    <w:rsid w:val="2D3A1EDB"/>
    <w:rsid w:val="2D453B1E"/>
    <w:rsid w:val="2D4C4FFA"/>
    <w:rsid w:val="2D5A2761"/>
    <w:rsid w:val="2D805B4B"/>
    <w:rsid w:val="2D8933E0"/>
    <w:rsid w:val="2D8C36EE"/>
    <w:rsid w:val="2DCB4002"/>
    <w:rsid w:val="2DFE58DD"/>
    <w:rsid w:val="2E0521BC"/>
    <w:rsid w:val="2E344DC4"/>
    <w:rsid w:val="2E755BCA"/>
    <w:rsid w:val="2E7F06EC"/>
    <w:rsid w:val="2E8A0D78"/>
    <w:rsid w:val="2E930F10"/>
    <w:rsid w:val="2EB32598"/>
    <w:rsid w:val="2EB44CBC"/>
    <w:rsid w:val="2EBA1C91"/>
    <w:rsid w:val="2EDD5126"/>
    <w:rsid w:val="2EE0205A"/>
    <w:rsid w:val="2EF64A72"/>
    <w:rsid w:val="2F110A2A"/>
    <w:rsid w:val="2F154362"/>
    <w:rsid w:val="2F1F39CA"/>
    <w:rsid w:val="2F257687"/>
    <w:rsid w:val="2F3716B2"/>
    <w:rsid w:val="2F4C4A0B"/>
    <w:rsid w:val="2F7625B8"/>
    <w:rsid w:val="2F7A7CA1"/>
    <w:rsid w:val="2F8702EB"/>
    <w:rsid w:val="2F8A6988"/>
    <w:rsid w:val="2F972162"/>
    <w:rsid w:val="2FA53776"/>
    <w:rsid w:val="2FA74090"/>
    <w:rsid w:val="2FB2601B"/>
    <w:rsid w:val="300A4E42"/>
    <w:rsid w:val="301B4F34"/>
    <w:rsid w:val="302C2689"/>
    <w:rsid w:val="30345D0C"/>
    <w:rsid w:val="308A5FF6"/>
    <w:rsid w:val="308B3EDC"/>
    <w:rsid w:val="309B3290"/>
    <w:rsid w:val="30A33EEE"/>
    <w:rsid w:val="30C029E1"/>
    <w:rsid w:val="30C6331F"/>
    <w:rsid w:val="30DB71FF"/>
    <w:rsid w:val="30EF6614"/>
    <w:rsid w:val="31195536"/>
    <w:rsid w:val="31237814"/>
    <w:rsid w:val="31335FA9"/>
    <w:rsid w:val="3135018C"/>
    <w:rsid w:val="31552C65"/>
    <w:rsid w:val="31693FC0"/>
    <w:rsid w:val="31AA1CE9"/>
    <w:rsid w:val="31AB392C"/>
    <w:rsid w:val="31D66CEF"/>
    <w:rsid w:val="31F866E5"/>
    <w:rsid w:val="32132FC2"/>
    <w:rsid w:val="321347CD"/>
    <w:rsid w:val="321D3E6D"/>
    <w:rsid w:val="32330445"/>
    <w:rsid w:val="323F7A58"/>
    <w:rsid w:val="32424AA7"/>
    <w:rsid w:val="324264AD"/>
    <w:rsid w:val="32604F9D"/>
    <w:rsid w:val="32637367"/>
    <w:rsid w:val="32707EB6"/>
    <w:rsid w:val="328153EA"/>
    <w:rsid w:val="328241E2"/>
    <w:rsid w:val="328479FE"/>
    <w:rsid w:val="32890FC6"/>
    <w:rsid w:val="32961223"/>
    <w:rsid w:val="32BE1A7B"/>
    <w:rsid w:val="32BE52B6"/>
    <w:rsid w:val="32C934F7"/>
    <w:rsid w:val="32CD2F4A"/>
    <w:rsid w:val="32E11A3E"/>
    <w:rsid w:val="33072163"/>
    <w:rsid w:val="3318363D"/>
    <w:rsid w:val="331D50C4"/>
    <w:rsid w:val="3327272D"/>
    <w:rsid w:val="33602744"/>
    <w:rsid w:val="336F3F5A"/>
    <w:rsid w:val="33811E14"/>
    <w:rsid w:val="33874FB9"/>
    <w:rsid w:val="338B11D0"/>
    <w:rsid w:val="33A440FD"/>
    <w:rsid w:val="33EE3109"/>
    <w:rsid w:val="340B246E"/>
    <w:rsid w:val="34223EC5"/>
    <w:rsid w:val="342C0253"/>
    <w:rsid w:val="342E729D"/>
    <w:rsid w:val="344D1366"/>
    <w:rsid w:val="345B07CF"/>
    <w:rsid w:val="346000DE"/>
    <w:rsid w:val="34755A60"/>
    <w:rsid w:val="347D13AF"/>
    <w:rsid w:val="348561BF"/>
    <w:rsid w:val="34A746C6"/>
    <w:rsid w:val="34C46350"/>
    <w:rsid w:val="34F308A9"/>
    <w:rsid w:val="35051332"/>
    <w:rsid w:val="350E2895"/>
    <w:rsid w:val="351F284A"/>
    <w:rsid w:val="35233D34"/>
    <w:rsid w:val="352F037B"/>
    <w:rsid w:val="35346D1D"/>
    <w:rsid w:val="353B41A7"/>
    <w:rsid w:val="35471856"/>
    <w:rsid w:val="357F5A6C"/>
    <w:rsid w:val="35A04E3E"/>
    <w:rsid w:val="35A24588"/>
    <w:rsid w:val="35A47414"/>
    <w:rsid w:val="35A8712C"/>
    <w:rsid w:val="35B52D1B"/>
    <w:rsid w:val="35E75431"/>
    <w:rsid w:val="35F70C73"/>
    <w:rsid w:val="36280D93"/>
    <w:rsid w:val="362A6C11"/>
    <w:rsid w:val="362E56BB"/>
    <w:rsid w:val="364A2F50"/>
    <w:rsid w:val="364C1ACD"/>
    <w:rsid w:val="36565C6E"/>
    <w:rsid w:val="365C19A8"/>
    <w:rsid w:val="36775016"/>
    <w:rsid w:val="36873FBD"/>
    <w:rsid w:val="368A0499"/>
    <w:rsid w:val="368F2C40"/>
    <w:rsid w:val="368F57F6"/>
    <w:rsid w:val="36954955"/>
    <w:rsid w:val="36B22785"/>
    <w:rsid w:val="36EC7BC8"/>
    <w:rsid w:val="36F40FB7"/>
    <w:rsid w:val="36F750C4"/>
    <w:rsid w:val="370C61CA"/>
    <w:rsid w:val="372A48AF"/>
    <w:rsid w:val="372C749A"/>
    <w:rsid w:val="3732639F"/>
    <w:rsid w:val="373D5E49"/>
    <w:rsid w:val="373E2717"/>
    <w:rsid w:val="375B608E"/>
    <w:rsid w:val="377E7835"/>
    <w:rsid w:val="379E57AD"/>
    <w:rsid w:val="37A156C4"/>
    <w:rsid w:val="37AC075F"/>
    <w:rsid w:val="37D960AF"/>
    <w:rsid w:val="37DF5057"/>
    <w:rsid w:val="37F24C0C"/>
    <w:rsid w:val="380719A9"/>
    <w:rsid w:val="382C5076"/>
    <w:rsid w:val="383465A1"/>
    <w:rsid w:val="3847770E"/>
    <w:rsid w:val="384A4B51"/>
    <w:rsid w:val="3861555B"/>
    <w:rsid w:val="38855B44"/>
    <w:rsid w:val="38920B9B"/>
    <w:rsid w:val="38A165E0"/>
    <w:rsid w:val="38B714FD"/>
    <w:rsid w:val="38CD610C"/>
    <w:rsid w:val="38D652DD"/>
    <w:rsid w:val="38DE13B6"/>
    <w:rsid w:val="39106315"/>
    <w:rsid w:val="39257F6E"/>
    <w:rsid w:val="392F5F80"/>
    <w:rsid w:val="393D4AAB"/>
    <w:rsid w:val="394B3772"/>
    <w:rsid w:val="39671595"/>
    <w:rsid w:val="396D0EB1"/>
    <w:rsid w:val="397210E1"/>
    <w:rsid w:val="3978083A"/>
    <w:rsid w:val="39925FB0"/>
    <w:rsid w:val="39A4672B"/>
    <w:rsid w:val="39B631D2"/>
    <w:rsid w:val="39E24F3D"/>
    <w:rsid w:val="3A017132"/>
    <w:rsid w:val="3A0271B5"/>
    <w:rsid w:val="3A3422A4"/>
    <w:rsid w:val="3A396909"/>
    <w:rsid w:val="3A430A6D"/>
    <w:rsid w:val="3A463B3C"/>
    <w:rsid w:val="3A635BA6"/>
    <w:rsid w:val="3A6A00FA"/>
    <w:rsid w:val="3A8C2928"/>
    <w:rsid w:val="3A9009F2"/>
    <w:rsid w:val="3A9139D4"/>
    <w:rsid w:val="3A96263F"/>
    <w:rsid w:val="3AA425E2"/>
    <w:rsid w:val="3AC24750"/>
    <w:rsid w:val="3AD706F0"/>
    <w:rsid w:val="3AE22366"/>
    <w:rsid w:val="3B01534E"/>
    <w:rsid w:val="3B1A2E07"/>
    <w:rsid w:val="3B220FAB"/>
    <w:rsid w:val="3B2B04AE"/>
    <w:rsid w:val="3B3A1A4D"/>
    <w:rsid w:val="3B5F7775"/>
    <w:rsid w:val="3B6355B8"/>
    <w:rsid w:val="3B780EC3"/>
    <w:rsid w:val="3B8F7797"/>
    <w:rsid w:val="3BBB258C"/>
    <w:rsid w:val="3BC10C90"/>
    <w:rsid w:val="3BD9614A"/>
    <w:rsid w:val="3BD97848"/>
    <w:rsid w:val="3BDE020F"/>
    <w:rsid w:val="3BE707E1"/>
    <w:rsid w:val="3BF36D8A"/>
    <w:rsid w:val="3C194932"/>
    <w:rsid w:val="3C335B2B"/>
    <w:rsid w:val="3C3C3898"/>
    <w:rsid w:val="3C4A1080"/>
    <w:rsid w:val="3C4D3FE4"/>
    <w:rsid w:val="3C503ADD"/>
    <w:rsid w:val="3C5A2C7F"/>
    <w:rsid w:val="3C625A22"/>
    <w:rsid w:val="3C8A04E4"/>
    <w:rsid w:val="3C8C2404"/>
    <w:rsid w:val="3C9B1215"/>
    <w:rsid w:val="3C9E414B"/>
    <w:rsid w:val="3CA45E15"/>
    <w:rsid w:val="3CEA3C72"/>
    <w:rsid w:val="3CEB464F"/>
    <w:rsid w:val="3CFB12EF"/>
    <w:rsid w:val="3D3A3115"/>
    <w:rsid w:val="3D3C5717"/>
    <w:rsid w:val="3D4A7769"/>
    <w:rsid w:val="3D967BCC"/>
    <w:rsid w:val="3DB53CFF"/>
    <w:rsid w:val="3DB969D8"/>
    <w:rsid w:val="3DE61DC1"/>
    <w:rsid w:val="3DF2060C"/>
    <w:rsid w:val="3E092643"/>
    <w:rsid w:val="3E2A2654"/>
    <w:rsid w:val="3E365815"/>
    <w:rsid w:val="3E3A3CA2"/>
    <w:rsid w:val="3E463DA0"/>
    <w:rsid w:val="3E6424A3"/>
    <w:rsid w:val="3E97259E"/>
    <w:rsid w:val="3EA205F5"/>
    <w:rsid w:val="3EC85EE1"/>
    <w:rsid w:val="3EC93614"/>
    <w:rsid w:val="3EDE2CC6"/>
    <w:rsid w:val="3EEB3DD1"/>
    <w:rsid w:val="3F0B6880"/>
    <w:rsid w:val="3F357562"/>
    <w:rsid w:val="3F3949CD"/>
    <w:rsid w:val="3F7B7D8C"/>
    <w:rsid w:val="3F99774A"/>
    <w:rsid w:val="3FCD1D9A"/>
    <w:rsid w:val="3FE122B3"/>
    <w:rsid w:val="3FFC3F26"/>
    <w:rsid w:val="3FFD5F36"/>
    <w:rsid w:val="402559BD"/>
    <w:rsid w:val="40404635"/>
    <w:rsid w:val="405F7DBC"/>
    <w:rsid w:val="406A2A9B"/>
    <w:rsid w:val="40950E94"/>
    <w:rsid w:val="40A16A21"/>
    <w:rsid w:val="40A35977"/>
    <w:rsid w:val="40AA114E"/>
    <w:rsid w:val="40D433A7"/>
    <w:rsid w:val="40EC0F3A"/>
    <w:rsid w:val="40ED30F1"/>
    <w:rsid w:val="40F5260D"/>
    <w:rsid w:val="40F74206"/>
    <w:rsid w:val="41012F23"/>
    <w:rsid w:val="4135596C"/>
    <w:rsid w:val="417461D0"/>
    <w:rsid w:val="417E60E8"/>
    <w:rsid w:val="418475C0"/>
    <w:rsid w:val="4195477A"/>
    <w:rsid w:val="41CF1EF9"/>
    <w:rsid w:val="41D06B69"/>
    <w:rsid w:val="41D07194"/>
    <w:rsid w:val="41F15C02"/>
    <w:rsid w:val="41F54F32"/>
    <w:rsid w:val="4201095F"/>
    <w:rsid w:val="42110587"/>
    <w:rsid w:val="42187567"/>
    <w:rsid w:val="42324D52"/>
    <w:rsid w:val="42367549"/>
    <w:rsid w:val="423E13C2"/>
    <w:rsid w:val="425D6066"/>
    <w:rsid w:val="426B1C73"/>
    <w:rsid w:val="426B5D3B"/>
    <w:rsid w:val="4276121A"/>
    <w:rsid w:val="427635E7"/>
    <w:rsid w:val="42810F70"/>
    <w:rsid w:val="428C5B44"/>
    <w:rsid w:val="428F3D35"/>
    <w:rsid w:val="42921C4E"/>
    <w:rsid w:val="42934B0B"/>
    <w:rsid w:val="429E7CF4"/>
    <w:rsid w:val="42AD63FD"/>
    <w:rsid w:val="42B85123"/>
    <w:rsid w:val="42BA223F"/>
    <w:rsid w:val="42CD130C"/>
    <w:rsid w:val="42CF795E"/>
    <w:rsid w:val="42EB262E"/>
    <w:rsid w:val="42ED3523"/>
    <w:rsid w:val="42FB0A7B"/>
    <w:rsid w:val="431D2E6F"/>
    <w:rsid w:val="435828AD"/>
    <w:rsid w:val="435D65EC"/>
    <w:rsid w:val="43997216"/>
    <w:rsid w:val="43A9445A"/>
    <w:rsid w:val="43BB7E5D"/>
    <w:rsid w:val="43DA731A"/>
    <w:rsid w:val="43E2227D"/>
    <w:rsid w:val="43F856E3"/>
    <w:rsid w:val="43FC2999"/>
    <w:rsid w:val="440852C0"/>
    <w:rsid w:val="441B28F9"/>
    <w:rsid w:val="441B4D4F"/>
    <w:rsid w:val="44261B25"/>
    <w:rsid w:val="443D0E0A"/>
    <w:rsid w:val="44450997"/>
    <w:rsid w:val="445742D1"/>
    <w:rsid w:val="44607072"/>
    <w:rsid w:val="446C44BA"/>
    <w:rsid w:val="446F24ED"/>
    <w:rsid w:val="44A31198"/>
    <w:rsid w:val="44A63834"/>
    <w:rsid w:val="44C3653B"/>
    <w:rsid w:val="44C70940"/>
    <w:rsid w:val="44C90FC7"/>
    <w:rsid w:val="44FF77B0"/>
    <w:rsid w:val="450709C7"/>
    <w:rsid w:val="450F3B71"/>
    <w:rsid w:val="45104968"/>
    <w:rsid w:val="4527278B"/>
    <w:rsid w:val="453A5918"/>
    <w:rsid w:val="45732C29"/>
    <w:rsid w:val="457539EE"/>
    <w:rsid w:val="457722DB"/>
    <w:rsid w:val="457B76A7"/>
    <w:rsid w:val="45AA243E"/>
    <w:rsid w:val="45AD014E"/>
    <w:rsid w:val="45C237BF"/>
    <w:rsid w:val="45F53410"/>
    <w:rsid w:val="460C0589"/>
    <w:rsid w:val="46140297"/>
    <w:rsid w:val="461F3FD3"/>
    <w:rsid w:val="46216BE1"/>
    <w:rsid w:val="46236A25"/>
    <w:rsid w:val="46371897"/>
    <w:rsid w:val="464D3E67"/>
    <w:rsid w:val="46770EFA"/>
    <w:rsid w:val="46C55243"/>
    <w:rsid w:val="46DE108B"/>
    <w:rsid w:val="46E03AD4"/>
    <w:rsid w:val="46E631C2"/>
    <w:rsid w:val="472A07C2"/>
    <w:rsid w:val="47396BDC"/>
    <w:rsid w:val="4756627D"/>
    <w:rsid w:val="47620BF8"/>
    <w:rsid w:val="4775024A"/>
    <w:rsid w:val="478337CA"/>
    <w:rsid w:val="478A4422"/>
    <w:rsid w:val="4792130E"/>
    <w:rsid w:val="47AD7B72"/>
    <w:rsid w:val="47E23BEB"/>
    <w:rsid w:val="47FD2BCF"/>
    <w:rsid w:val="47FF30B8"/>
    <w:rsid w:val="480E213A"/>
    <w:rsid w:val="48400BE5"/>
    <w:rsid w:val="484D1B44"/>
    <w:rsid w:val="485D109E"/>
    <w:rsid w:val="486C4B23"/>
    <w:rsid w:val="486E66A1"/>
    <w:rsid w:val="48725F90"/>
    <w:rsid w:val="48765FF6"/>
    <w:rsid w:val="487B23EF"/>
    <w:rsid w:val="4888279D"/>
    <w:rsid w:val="4893583C"/>
    <w:rsid w:val="48982783"/>
    <w:rsid w:val="48AA06B2"/>
    <w:rsid w:val="48AD36D2"/>
    <w:rsid w:val="48E40E4F"/>
    <w:rsid w:val="490627CF"/>
    <w:rsid w:val="49065BD2"/>
    <w:rsid w:val="490B029F"/>
    <w:rsid w:val="49116CBC"/>
    <w:rsid w:val="491230C4"/>
    <w:rsid w:val="49156868"/>
    <w:rsid w:val="491D1E79"/>
    <w:rsid w:val="491F7C74"/>
    <w:rsid w:val="492F36DD"/>
    <w:rsid w:val="494B1B00"/>
    <w:rsid w:val="494D708D"/>
    <w:rsid w:val="49505E47"/>
    <w:rsid w:val="495B6313"/>
    <w:rsid w:val="498E2EA4"/>
    <w:rsid w:val="499F66F6"/>
    <w:rsid w:val="49A75B81"/>
    <w:rsid w:val="49B20F16"/>
    <w:rsid w:val="49C60208"/>
    <w:rsid w:val="49C74D72"/>
    <w:rsid w:val="4A444CA6"/>
    <w:rsid w:val="4A504F68"/>
    <w:rsid w:val="4A5173B3"/>
    <w:rsid w:val="4A524DED"/>
    <w:rsid w:val="4A6D7495"/>
    <w:rsid w:val="4A771629"/>
    <w:rsid w:val="4AA73B98"/>
    <w:rsid w:val="4AB257FB"/>
    <w:rsid w:val="4AB611D6"/>
    <w:rsid w:val="4AB825FE"/>
    <w:rsid w:val="4ABB060C"/>
    <w:rsid w:val="4ADF14B9"/>
    <w:rsid w:val="4AF1261E"/>
    <w:rsid w:val="4AF20DC8"/>
    <w:rsid w:val="4AFE72F7"/>
    <w:rsid w:val="4B0272EB"/>
    <w:rsid w:val="4B1B530A"/>
    <w:rsid w:val="4B3A01BD"/>
    <w:rsid w:val="4B563B33"/>
    <w:rsid w:val="4B84556A"/>
    <w:rsid w:val="4B85769F"/>
    <w:rsid w:val="4BB014EE"/>
    <w:rsid w:val="4BB4373C"/>
    <w:rsid w:val="4BD37F7E"/>
    <w:rsid w:val="4BE80EE2"/>
    <w:rsid w:val="4BE848B0"/>
    <w:rsid w:val="4BEC0587"/>
    <w:rsid w:val="4BF739ED"/>
    <w:rsid w:val="4C044742"/>
    <w:rsid w:val="4C0739E6"/>
    <w:rsid w:val="4C0F0DE5"/>
    <w:rsid w:val="4C181C7A"/>
    <w:rsid w:val="4C2E3C3A"/>
    <w:rsid w:val="4C391445"/>
    <w:rsid w:val="4C506B5B"/>
    <w:rsid w:val="4C6D1622"/>
    <w:rsid w:val="4C70591F"/>
    <w:rsid w:val="4C881912"/>
    <w:rsid w:val="4C8A6CCC"/>
    <w:rsid w:val="4C965C21"/>
    <w:rsid w:val="4CA10305"/>
    <w:rsid w:val="4CB2159C"/>
    <w:rsid w:val="4CD050A6"/>
    <w:rsid w:val="4CD473F5"/>
    <w:rsid w:val="4CD61780"/>
    <w:rsid w:val="4CD77D7D"/>
    <w:rsid w:val="4CE0479E"/>
    <w:rsid w:val="4CED6A16"/>
    <w:rsid w:val="4CF42C42"/>
    <w:rsid w:val="4D0E5CFA"/>
    <w:rsid w:val="4D236343"/>
    <w:rsid w:val="4D315FE3"/>
    <w:rsid w:val="4D434429"/>
    <w:rsid w:val="4D872ED9"/>
    <w:rsid w:val="4D8A3547"/>
    <w:rsid w:val="4D937006"/>
    <w:rsid w:val="4DA60887"/>
    <w:rsid w:val="4DCE7B2E"/>
    <w:rsid w:val="4DD83D0E"/>
    <w:rsid w:val="4DD90510"/>
    <w:rsid w:val="4E344742"/>
    <w:rsid w:val="4E3B07FB"/>
    <w:rsid w:val="4E473D49"/>
    <w:rsid w:val="4E934422"/>
    <w:rsid w:val="4EA21C07"/>
    <w:rsid w:val="4EF0607F"/>
    <w:rsid w:val="4EFA7683"/>
    <w:rsid w:val="4F07598E"/>
    <w:rsid w:val="4F1021B6"/>
    <w:rsid w:val="4F15298A"/>
    <w:rsid w:val="4F266FEA"/>
    <w:rsid w:val="4F3B3380"/>
    <w:rsid w:val="4F4330E1"/>
    <w:rsid w:val="4F44318B"/>
    <w:rsid w:val="4F6F2AD6"/>
    <w:rsid w:val="4F851C7B"/>
    <w:rsid w:val="4F863F02"/>
    <w:rsid w:val="4FAB13A3"/>
    <w:rsid w:val="4FDC17EF"/>
    <w:rsid w:val="4FE539C1"/>
    <w:rsid w:val="4FFA4751"/>
    <w:rsid w:val="50260F72"/>
    <w:rsid w:val="502B0326"/>
    <w:rsid w:val="50515C89"/>
    <w:rsid w:val="505C525D"/>
    <w:rsid w:val="5066345E"/>
    <w:rsid w:val="507A4AFC"/>
    <w:rsid w:val="50A25B89"/>
    <w:rsid w:val="50A406BF"/>
    <w:rsid w:val="50AE1CD5"/>
    <w:rsid w:val="50B07A56"/>
    <w:rsid w:val="50BF1009"/>
    <w:rsid w:val="50C20563"/>
    <w:rsid w:val="50D55218"/>
    <w:rsid w:val="50D77CE8"/>
    <w:rsid w:val="50E60CEB"/>
    <w:rsid w:val="51002413"/>
    <w:rsid w:val="51011E6A"/>
    <w:rsid w:val="51012663"/>
    <w:rsid w:val="51075AB5"/>
    <w:rsid w:val="51265E05"/>
    <w:rsid w:val="51320213"/>
    <w:rsid w:val="51460767"/>
    <w:rsid w:val="514960C2"/>
    <w:rsid w:val="519B5E1F"/>
    <w:rsid w:val="51A22549"/>
    <w:rsid w:val="51B16E5C"/>
    <w:rsid w:val="51B60EB8"/>
    <w:rsid w:val="51C03C36"/>
    <w:rsid w:val="51C13B30"/>
    <w:rsid w:val="51C67AE8"/>
    <w:rsid w:val="51D13FCF"/>
    <w:rsid w:val="51E86C7B"/>
    <w:rsid w:val="51EC5599"/>
    <w:rsid w:val="520E7698"/>
    <w:rsid w:val="521B4839"/>
    <w:rsid w:val="522B6148"/>
    <w:rsid w:val="52486D0A"/>
    <w:rsid w:val="525E7242"/>
    <w:rsid w:val="5279486F"/>
    <w:rsid w:val="529B1088"/>
    <w:rsid w:val="52A01DC8"/>
    <w:rsid w:val="52AE0EAD"/>
    <w:rsid w:val="52C0058E"/>
    <w:rsid w:val="52D723BD"/>
    <w:rsid w:val="52EB1E6B"/>
    <w:rsid w:val="52F17B18"/>
    <w:rsid w:val="52F87E22"/>
    <w:rsid w:val="5305695C"/>
    <w:rsid w:val="53136330"/>
    <w:rsid w:val="531E1170"/>
    <w:rsid w:val="53256107"/>
    <w:rsid w:val="532654C0"/>
    <w:rsid w:val="53305025"/>
    <w:rsid w:val="53492E75"/>
    <w:rsid w:val="534A1E60"/>
    <w:rsid w:val="534B08FB"/>
    <w:rsid w:val="53606EAB"/>
    <w:rsid w:val="536C69A6"/>
    <w:rsid w:val="537033EC"/>
    <w:rsid w:val="53755AC0"/>
    <w:rsid w:val="53794560"/>
    <w:rsid w:val="537C478D"/>
    <w:rsid w:val="53844C03"/>
    <w:rsid w:val="5393181F"/>
    <w:rsid w:val="53963168"/>
    <w:rsid w:val="53D11E97"/>
    <w:rsid w:val="53DA048F"/>
    <w:rsid w:val="54013371"/>
    <w:rsid w:val="541B6DFF"/>
    <w:rsid w:val="541F2799"/>
    <w:rsid w:val="543B2BBA"/>
    <w:rsid w:val="54536A52"/>
    <w:rsid w:val="54686147"/>
    <w:rsid w:val="547E288E"/>
    <w:rsid w:val="548556F6"/>
    <w:rsid w:val="54946551"/>
    <w:rsid w:val="54995DE9"/>
    <w:rsid w:val="54BC75B4"/>
    <w:rsid w:val="54C55C3D"/>
    <w:rsid w:val="54EE5F0E"/>
    <w:rsid w:val="54F94C7B"/>
    <w:rsid w:val="5506307F"/>
    <w:rsid w:val="55183943"/>
    <w:rsid w:val="5519788B"/>
    <w:rsid w:val="55232584"/>
    <w:rsid w:val="55285011"/>
    <w:rsid w:val="55295D86"/>
    <w:rsid w:val="552B02ED"/>
    <w:rsid w:val="55412F58"/>
    <w:rsid w:val="55476368"/>
    <w:rsid w:val="556A0D85"/>
    <w:rsid w:val="55AB325F"/>
    <w:rsid w:val="55B3134A"/>
    <w:rsid w:val="55C42826"/>
    <w:rsid w:val="55D9178E"/>
    <w:rsid w:val="55E913A5"/>
    <w:rsid w:val="55F461DE"/>
    <w:rsid w:val="55FA16C2"/>
    <w:rsid w:val="55FA59C9"/>
    <w:rsid w:val="561C3B1C"/>
    <w:rsid w:val="562066C6"/>
    <w:rsid w:val="56461488"/>
    <w:rsid w:val="564D6670"/>
    <w:rsid w:val="566D4DF7"/>
    <w:rsid w:val="567A28DD"/>
    <w:rsid w:val="56887925"/>
    <w:rsid w:val="56903754"/>
    <w:rsid w:val="56A07B9A"/>
    <w:rsid w:val="56A8156A"/>
    <w:rsid w:val="56AF6B60"/>
    <w:rsid w:val="56C8670A"/>
    <w:rsid w:val="56F30F40"/>
    <w:rsid w:val="56F47C5E"/>
    <w:rsid w:val="570643BB"/>
    <w:rsid w:val="571E5838"/>
    <w:rsid w:val="57312F22"/>
    <w:rsid w:val="57396FCC"/>
    <w:rsid w:val="5753231F"/>
    <w:rsid w:val="576F4D44"/>
    <w:rsid w:val="57912D32"/>
    <w:rsid w:val="57C47377"/>
    <w:rsid w:val="57C52A3D"/>
    <w:rsid w:val="58027E7A"/>
    <w:rsid w:val="58106FDE"/>
    <w:rsid w:val="582102E4"/>
    <w:rsid w:val="58377515"/>
    <w:rsid w:val="58666187"/>
    <w:rsid w:val="58690BA6"/>
    <w:rsid w:val="587662D9"/>
    <w:rsid w:val="58922D02"/>
    <w:rsid w:val="58A65C2C"/>
    <w:rsid w:val="58C23ADD"/>
    <w:rsid w:val="58C80369"/>
    <w:rsid w:val="58FF474F"/>
    <w:rsid w:val="59031DC7"/>
    <w:rsid w:val="590B414B"/>
    <w:rsid w:val="59285C39"/>
    <w:rsid w:val="595A122B"/>
    <w:rsid w:val="595F460A"/>
    <w:rsid w:val="596123D3"/>
    <w:rsid w:val="596631FF"/>
    <w:rsid w:val="596A7B84"/>
    <w:rsid w:val="596E4A8E"/>
    <w:rsid w:val="596F169E"/>
    <w:rsid w:val="596F6163"/>
    <w:rsid w:val="59A45AEF"/>
    <w:rsid w:val="59BB0018"/>
    <w:rsid w:val="59DA657B"/>
    <w:rsid w:val="59EC45EA"/>
    <w:rsid w:val="59EF33AD"/>
    <w:rsid w:val="5A2448B0"/>
    <w:rsid w:val="5A2533FF"/>
    <w:rsid w:val="5A404520"/>
    <w:rsid w:val="5A4C55D7"/>
    <w:rsid w:val="5AAC2295"/>
    <w:rsid w:val="5AAE19A0"/>
    <w:rsid w:val="5AB80858"/>
    <w:rsid w:val="5AB82D2A"/>
    <w:rsid w:val="5ACB0AE9"/>
    <w:rsid w:val="5B032BCD"/>
    <w:rsid w:val="5B20400F"/>
    <w:rsid w:val="5B2B57E0"/>
    <w:rsid w:val="5B495006"/>
    <w:rsid w:val="5B4C7D1E"/>
    <w:rsid w:val="5B5459A5"/>
    <w:rsid w:val="5B91052B"/>
    <w:rsid w:val="5BA670A5"/>
    <w:rsid w:val="5BAA1255"/>
    <w:rsid w:val="5BF2239A"/>
    <w:rsid w:val="5BF46705"/>
    <w:rsid w:val="5C0C07B1"/>
    <w:rsid w:val="5C1500F6"/>
    <w:rsid w:val="5C2672FF"/>
    <w:rsid w:val="5C3A2AAB"/>
    <w:rsid w:val="5C3C5630"/>
    <w:rsid w:val="5C4634FC"/>
    <w:rsid w:val="5C530DAC"/>
    <w:rsid w:val="5C7C62B0"/>
    <w:rsid w:val="5C7E4EBF"/>
    <w:rsid w:val="5C7F5720"/>
    <w:rsid w:val="5C8A0F19"/>
    <w:rsid w:val="5C900E74"/>
    <w:rsid w:val="5CA76652"/>
    <w:rsid w:val="5CB16A35"/>
    <w:rsid w:val="5CBE5026"/>
    <w:rsid w:val="5CD926F4"/>
    <w:rsid w:val="5CEC70D6"/>
    <w:rsid w:val="5D2D072C"/>
    <w:rsid w:val="5D3915C9"/>
    <w:rsid w:val="5D4A25A3"/>
    <w:rsid w:val="5D4E78CF"/>
    <w:rsid w:val="5D5371FE"/>
    <w:rsid w:val="5D627C5F"/>
    <w:rsid w:val="5D8879D5"/>
    <w:rsid w:val="5D903CF0"/>
    <w:rsid w:val="5DA136EF"/>
    <w:rsid w:val="5DAD22FE"/>
    <w:rsid w:val="5DB63552"/>
    <w:rsid w:val="5DBD5F3F"/>
    <w:rsid w:val="5DC2296C"/>
    <w:rsid w:val="5DFD7FC3"/>
    <w:rsid w:val="5E265F24"/>
    <w:rsid w:val="5E3B48F0"/>
    <w:rsid w:val="5E3D141E"/>
    <w:rsid w:val="5E412A33"/>
    <w:rsid w:val="5E4B27FD"/>
    <w:rsid w:val="5E4C5314"/>
    <w:rsid w:val="5E4E3866"/>
    <w:rsid w:val="5E511F75"/>
    <w:rsid w:val="5E620B39"/>
    <w:rsid w:val="5E791102"/>
    <w:rsid w:val="5E844EF6"/>
    <w:rsid w:val="5E88777D"/>
    <w:rsid w:val="5EBE06BB"/>
    <w:rsid w:val="5EC431F5"/>
    <w:rsid w:val="5ED10ED7"/>
    <w:rsid w:val="5ED62CC4"/>
    <w:rsid w:val="5EE47620"/>
    <w:rsid w:val="5F450011"/>
    <w:rsid w:val="5F7768B8"/>
    <w:rsid w:val="5F7B6A0F"/>
    <w:rsid w:val="5F9B72B8"/>
    <w:rsid w:val="5FBA2B3A"/>
    <w:rsid w:val="5FDB2EAF"/>
    <w:rsid w:val="5FDB64D1"/>
    <w:rsid w:val="5FE730F3"/>
    <w:rsid w:val="60022D25"/>
    <w:rsid w:val="600729E7"/>
    <w:rsid w:val="6018674D"/>
    <w:rsid w:val="601C49D5"/>
    <w:rsid w:val="602366FF"/>
    <w:rsid w:val="603F3A58"/>
    <w:rsid w:val="604B14F2"/>
    <w:rsid w:val="60562AD6"/>
    <w:rsid w:val="60632E03"/>
    <w:rsid w:val="60A0057C"/>
    <w:rsid w:val="60B12BE9"/>
    <w:rsid w:val="60BB759B"/>
    <w:rsid w:val="60C812D1"/>
    <w:rsid w:val="60CE7BBA"/>
    <w:rsid w:val="60F024CE"/>
    <w:rsid w:val="6115288D"/>
    <w:rsid w:val="61361E39"/>
    <w:rsid w:val="61397A3C"/>
    <w:rsid w:val="614269A1"/>
    <w:rsid w:val="61471FEA"/>
    <w:rsid w:val="61604E93"/>
    <w:rsid w:val="616E6275"/>
    <w:rsid w:val="617C3F62"/>
    <w:rsid w:val="617E05A4"/>
    <w:rsid w:val="619138DC"/>
    <w:rsid w:val="61916BFE"/>
    <w:rsid w:val="61A32D93"/>
    <w:rsid w:val="61B87774"/>
    <w:rsid w:val="61EF4743"/>
    <w:rsid w:val="622276CE"/>
    <w:rsid w:val="622F04F8"/>
    <w:rsid w:val="62363ACF"/>
    <w:rsid w:val="623E288B"/>
    <w:rsid w:val="623F7349"/>
    <w:rsid w:val="62553759"/>
    <w:rsid w:val="6261318C"/>
    <w:rsid w:val="627B55AC"/>
    <w:rsid w:val="627E5AE1"/>
    <w:rsid w:val="62882735"/>
    <w:rsid w:val="62990C6C"/>
    <w:rsid w:val="62A56AA1"/>
    <w:rsid w:val="62C63CE6"/>
    <w:rsid w:val="62E47002"/>
    <w:rsid w:val="62E63C9C"/>
    <w:rsid w:val="62F0486B"/>
    <w:rsid w:val="6335446D"/>
    <w:rsid w:val="633741D8"/>
    <w:rsid w:val="63414D03"/>
    <w:rsid w:val="63436A11"/>
    <w:rsid w:val="635207B9"/>
    <w:rsid w:val="63663083"/>
    <w:rsid w:val="63A75653"/>
    <w:rsid w:val="63A97F3E"/>
    <w:rsid w:val="63AB04F6"/>
    <w:rsid w:val="63BA194E"/>
    <w:rsid w:val="63BE19B7"/>
    <w:rsid w:val="63F7262A"/>
    <w:rsid w:val="640A4959"/>
    <w:rsid w:val="643326A5"/>
    <w:rsid w:val="6487389D"/>
    <w:rsid w:val="649638E1"/>
    <w:rsid w:val="64B665BF"/>
    <w:rsid w:val="64EE14BE"/>
    <w:rsid w:val="651C1090"/>
    <w:rsid w:val="65332996"/>
    <w:rsid w:val="6538018C"/>
    <w:rsid w:val="65416DE1"/>
    <w:rsid w:val="65450612"/>
    <w:rsid w:val="65756DF7"/>
    <w:rsid w:val="65893EE1"/>
    <w:rsid w:val="659C7481"/>
    <w:rsid w:val="65A26562"/>
    <w:rsid w:val="65D34C2B"/>
    <w:rsid w:val="65D741E4"/>
    <w:rsid w:val="65DE6340"/>
    <w:rsid w:val="65ED28E3"/>
    <w:rsid w:val="6615280F"/>
    <w:rsid w:val="66402501"/>
    <w:rsid w:val="6647551D"/>
    <w:rsid w:val="664C53E4"/>
    <w:rsid w:val="665877B7"/>
    <w:rsid w:val="6690797C"/>
    <w:rsid w:val="66A6683B"/>
    <w:rsid w:val="66A818A6"/>
    <w:rsid w:val="66AE6724"/>
    <w:rsid w:val="66B32FDB"/>
    <w:rsid w:val="670162A3"/>
    <w:rsid w:val="670653DB"/>
    <w:rsid w:val="670D5776"/>
    <w:rsid w:val="670D7DD2"/>
    <w:rsid w:val="671D5DED"/>
    <w:rsid w:val="67331B91"/>
    <w:rsid w:val="67404FE4"/>
    <w:rsid w:val="67431E06"/>
    <w:rsid w:val="67442C96"/>
    <w:rsid w:val="6765256F"/>
    <w:rsid w:val="67B64DF8"/>
    <w:rsid w:val="67B716FA"/>
    <w:rsid w:val="67CC32AD"/>
    <w:rsid w:val="67CD5CD2"/>
    <w:rsid w:val="67D302B9"/>
    <w:rsid w:val="67EF6180"/>
    <w:rsid w:val="67F13B80"/>
    <w:rsid w:val="67FC3E85"/>
    <w:rsid w:val="67FF6200"/>
    <w:rsid w:val="680E3241"/>
    <w:rsid w:val="682265F7"/>
    <w:rsid w:val="682A7C45"/>
    <w:rsid w:val="683078E3"/>
    <w:rsid w:val="683C57D9"/>
    <w:rsid w:val="68667101"/>
    <w:rsid w:val="686E6DDC"/>
    <w:rsid w:val="6870444C"/>
    <w:rsid w:val="68936EED"/>
    <w:rsid w:val="6895134B"/>
    <w:rsid w:val="68BD2C7C"/>
    <w:rsid w:val="68C526DE"/>
    <w:rsid w:val="68D3008A"/>
    <w:rsid w:val="68DA6EC8"/>
    <w:rsid w:val="68EB46AB"/>
    <w:rsid w:val="690B691C"/>
    <w:rsid w:val="692166A9"/>
    <w:rsid w:val="692C1C3C"/>
    <w:rsid w:val="693407E1"/>
    <w:rsid w:val="693E202E"/>
    <w:rsid w:val="694947E0"/>
    <w:rsid w:val="695063F1"/>
    <w:rsid w:val="695A25B0"/>
    <w:rsid w:val="6969166D"/>
    <w:rsid w:val="697D0C7F"/>
    <w:rsid w:val="69915792"/>
    <w:rsid w:val="69967304"/>
    <w:rsid w:val="69A64FE6"/>
    <w:rsid w:val="69B741B2"/>
    <w:rsid w:val="69C44746"/>
    <w:rsid w:val="69FA1B26"/>
    <w:rsid w:val="6A032845"/>
    <w:rsid w:val="6A157FE3"/>
    <w:rsid w:val="6A266866"/>
    <w:rsid w:val="6A447ABD"/>
    <w:rsid w:val="6A465D5D"/>
    <w:rsid w:val="6A476464"/>
    <w:rsid w:val="6A5B7367"/>
    <w:rsid w:val="6A676E86"/>
    <w:rsid w:val="6A6A1B3C"/>
    <w:rsid w:val="6A6F3387"/>
    <w:rsid w:val="6A767CAF"/>
    <w:rsid w:val="6A88494B"/>
    <w:rsid w:val="6A951646"/>
    <w:rsid w:val="6A983DC1"/>
    <w:rsid w:val="6AA404A7"/>
    <w:rsid w:val="6AA8374E"/>
    <w:rsid w:val="6ABA3DCF"/>
    <w:rsid w:val="6ABC6AC8"/>
    <w:rsid w:val="6AC074F6"/>
    <w:rsid w:val="6B107C30"/>
    <w:rsid w:val="6B2F142E"/>
    <w:rsid w:val="6B3B467E"/>
    <w:rsid w:val="6B6856F2"/>
    <w:rsid w:val="6B763C73"/>
    <w:rsid w:val="6B853E43"/>
    <w:rsid w:val="6BAC5005"/>
    <w:rsid w:val="6BB3000A"/>
    <w:rsid w:val="6BDF59B2"/>
    <w:rsid w:val="6BFA3912"/>
    <w:rsid w:val="6C2B2191"/>
    <w:rsid w:val="6C531CF1"/>
    <w:rsid w:val="6C576815"/>
    <w:rsid w:val="6C65735E"/>
    <w:rsid w:val="6C6A7476"/>
    <w:rsid w:val="6C804535"/>
    <w:rsid w:val="6C8D28DC"/>
    <w:rsid w:val="6CBE0415"/>
    <w:rsid w:val="6CD43EA0"/>
    <w:rsid w:val="6CF27A25"/>
    <w:rsid w:val="6D136A6C"/>
    <w:rsid w:val="6D377207"/>
    <w:rsid w:val="6D534749"/>
    <w:rsid w:val="6D7144C9"/>
    <w:rsid w:val="6D754F4A"/>
    <w:rsid w:val="6D7C08DF"/>
    <w:rsid w:val="6DD14527"/>
    <w:rsid w:val="6DDF104B"/>
    <w:rsid w:val="6DE9258F"/>
    <w:rsid w:val="6DEB160C"/>
    <w:rsid w:val="6DEB5A18"/>
    <w:rsid w:val="6DF11D76"/>
    <w:rsid w:val="6E030DC2"/>
    <w:rsid w:val="6E2E4E22"/>
    <w:rsid w:val="6E4134B7"/>
    <w:rsid w:val="6E522E16"/>
    <w:rsid w:val="6E5A6913"/>
    <w:rsid w:val="6E77047A"/>
    <w:rsid w:val="6E83350B"/>
    <w:rsid w:val="6E9F66C9"/>
    <w:rsid w:val="6EA6081F"/>
    <w:rsid w:val="6EA670ED"/>
    <w:rsid w:val="6ECD54D4"/>
    <w:rsid w:val="6EFF40B2"/>
    <w:rsid w:val="6F2858EE"/>
    <w:rsid w:val="6F59685A"/>
    <w:rsid w:val="6F7A3EFD"/>
    <w:rsid w:val="6F8D0BF1"/>
    <w:rsid w:val="6FA3111A"/>
    <w:rsid w:val="6FB216B2"/>
    <w:rsid w:val="6FCD45D8"/>
    <w:rsid w:val="6FD261DF"/>
    <w:rsid w:val="6FF437A1"/>
    <w:rsid w:val="700852BE"/>
    <w:rsid w:val="702C203B"/>
    <w:rsid w:val="703A1840"/>
    <w:rsid w:val="70455010"/>
    <w:rsid w:val="704A221F"/>
    <w:rsid w:val="706A082A"/>
    <w:rsid w:val="7089076F"/>
    <w:rsid w:val="70C2726D"/>
    <w:rsid w:val="70DE24F6"/>
    <w:rsid w:val="70EE2F2A"/>
    <w:rsid w:val="70FE34E0"/>
    <w:rsid w:val="71241529"/>
    <w:rsid w:val="71331F6F"/>
    <w:rsid w:val="71434F45"/>
    <w:rsid w:val="71437E7B"/>
    <w:rsid w:val="71456350"/>
    <w:rsid w:val="714A4A46"/>
    <w:rsid w:val="7153660D"/>
    <w:rsid w:val="71803D4F"/>
    <w:rsid w:val="71850EC7"/>
    <w:rsid w:val="71AB08C6"/>
    <w:rsid w:val="71B0625D"/>
    <w:rsid w:val="71C925D8"/>
    <w:rsid w:val="71E06009"/>
    <w:rsid w:val="72485038"/>
    <w:rsid w:val="724915F2"/>
    <w:rsid w:val="724E51B7"/>
    <w:rsid w:val="727B2F7B"/>
    <w:rsid w:val="728017EF"/>
    <w:rsid w:val="72825F9A"/>
    <w:rsid w:val="729316CE"/>
    <w:rsid w:val="729B1BB8"/>
    <w:rsid w:val="72AC4273"/>
    <w:rsid w:val="72AF717F"/>
    <w:rsid w:val="72DC4CC4"/>
    <w:rsid w:val="72EB207D"/>
    <w:rsid w:val="72F74755"/>
    <w:rsid w:val="73032CD0"/>
    <w:rsid w:val="730F005A"/>
    <w:rsid w:val="73151632"/>
    <w:rsid w:val="73151AE4"/>
    <w:rsid w:val="73574096"/>
    <w:rsid w:val="736E3DB6"/>
    <w:rsid w:val="73CD5764"/>
    <w:rsid w:val="73D42FAF"/>
    <w:rsid w:val="73E03EBF"/>
    <w:rsid w:val="73F55481"/>
    <w:rsid w:val="73FF39AC"/>
    <w:rsid w:val="7408709C"/>
    <w:rsid w:val="740F01F6"/>
    <w:rsid w:val="74112FB3"/>
    <w:rsid w:val="742B291A"/>
    <w:rsid w:val="743D0FA3"/>
    <w:rsid w:val="745C1702"/>
    <w:rsid w:val="746579EC"/>
    <w:rsid w:val="746F3E8B"/>
    <w:rsid w:val="747B717F"/>
    <w:rsid w:val="74945857"/>
    <w:rsid w:val="74CE2A36"/>
    <w:rsid w:val="74DF5091"/>
    <w:rsid w:val="74E24BD6"/>
    <w:rsid w:val="74E30CFF"/>
    <w:rsid w:val="74E84E0A"/>
    <w:rsid w:val="750014CC"/>
    <w:rsid w:val="75064BC6"/>
    <w:rsid w:val="75115CC2"/>
    <w:rsid w:val="751A2DEF"/>
    <w:rsid w:val="751F2D7E"/>
    <w:rsid w:val="753A5C6D"/>
    <w:rsid w:val="7556645D"/>
    <w:rsid w:val="756762C8"/>
    <w:rsid w:val="757C35AB"/>
    <w:rsid w:val="759B2FE3"/>
    <w:rsid w:val="759D11E6"/>
    <w:rsid w:val="75A130FE"/>
    <w:rsid w:val="75A759C2"/>
    <w:rsid w:val="75B21532"/>
    <w:rsid w:val="75E046C9"/>
    <w:rsid w:val="760B0BAD"/>
    <w:rsid w:val="762F419A"/>
    <w:rsid w:val="763261A1"/>
    <w:rsid w:val="763A4F4A"/>
    <w:rsid w:val="763C586A"/>
    <w:rsid w:val="7642715F"/>
    <w:rsid w:val="765919B3"/>
    <w:rsid w:val="76837B7A"/>
    <w:rsid w:val="76AD2D6F"/>
    <w:rsid w:val="76BB793B"/>
    <w:rsid w:val="76C36A66"/>
    <w:rsid w:val="76D22A92"/>
    <w:rsid w:val="77086F1C"/>
    <w:rsid w:val="77102341"/>
    <w:rsid w:val="77135EA8"/>
    <w:rsid w:val="773B568A"/>
    <w:rsid w:val="774544C3"/>
    <w:rsid w:val="778B41DF"/>
    <w:rsid w:val="77911984"/>
    <w:rsid w:val="77A332B1"/>
    <w:rsid w:val="77C64387"/>
    <w:rsid w:val="77D14E4E"/>
    <w:rsid w:val="77D40411"/>
    <w:rsid w:val="77EA5931"/>
    <w:rsid w:val="77EF3B6F"/>
    <w:rsid w:val="78033BEE"/>
    <w:rsid w:val="78103364"/>
    <w:rsid w:val="788721E8"/>
    <w:rsid w:val="788F33A4"/>
    <w:rsid w:val="789F7778"/>
    <w:rsid w:val="78BE56D1"/>
    <w:rsid w:val="78C2519B"/>
    <w:rsid w:val="78C47BAC"/>
    <w:rsid w:val="78DD6954"/>
    <w:rsid w:val="78DF2312"/>
    <w:rsid w:val="78EC3F31"/>
    <w:rsid w:val="790507D7"/>
    <w:rsid w:val="79081E60"/>
    <w:rsid w:val="794D4574"/>
    <w:rsid w:val="7983551D"/>
    <w:rsid w:val="79863553"/>
    <w:rsid w:val="79967737"/>
    <w:rsid w:val="799F5F50"/>
    <w:rsid w:val="79B4153C"/>
    <w:rsid w:val="79B55C20"/>
    <w:rsid w:val="79C33D8E"/>
    <w:rsid w:val="79CB09BA"/>
    <w:rsid w:val="79CB5142"/>
    <w:rsid w:val="79D10E5F"/>
    <w:rsid w:val="7A182477"/>
    <w:rsid w:val="7A204D71"/>
    <w:rsid w:val="7A27737C"/>
    <w:rsid w:val="7A331FF9"/>
    <w:rsid w:val="7A3F0950"/>
    <w:rsid w:val="7A7647A4"/>
    <w:rsid w:val="7A7C60B8"/>
    <w:rsid w:val="7A7F18A8"/>
    <w:rsid w:val="7A856EF8"/>
    <w:rsid w:val="7A880424"/>
    <w:rsid w:val="7A9001E9"/>
    <w:rsid w:val="7A9708B0"/>
    <w:rsid w:val="7AA45E58"/>
    <w:rsid w:val="7AA82A1A"/>
    <w:rsid w:val="7ADE5E5B"/>
    <w:rsid w:val="7AE37FF9"/>
    <w:rsid w:val="7AFA315E"/>
    <w:rsid w:val="7B0A34EB"/>
    <w:rsid w:val="7B1C4578"/>
    <w:rsid w:val="7B1D0316"/>
    <w:rsid w:val="7B275A32"/>
    <w:rsid w:val="7B310030"/>
    <w:rsid w:val="7B34380E"/>
    <w:rsid w:val="7B5C239B"/>
    <w:rsid w:val="7B6524F0"/>
    <w:rsid w:val="7B7B5DF3"/>
    <w:rsid w:val="7BA06808"/>
    <w:rsid w:val="7BE93421"/>
    <w:rsid w:val="7C5C5480"/>
    <w:rsid w:val="7C715012"/>
    <w:rsid w:val="7C7E6BB0"/>
    <w:rsid w:val="7C954183"/>
    <w:rsid w:val="7CC85D62"/>
    <w:rsid w:val="7CEC3EFC"/>
    <w:rsid w:val="7D1836DE"/>
    <w:rsid w:val="7D2B194A"/>
    <w:rsid w:val="7D3662DD"/>
    <w:rsid w:val="7D491121"/>
    <w:rsid w:val="7D5224FC"/>
    <w:rsid w:val="7D573869"/>
    <w:rsid w:val="7D727581"/>
    <w:rsid w:val="7D784E52"/>
    <w:rsid w:val="7D9C374E"/>
    <w:rsid w:val="7DA2128B"/>
    <w:rsid w:val="7DA80F67"/>
    <w:rsid w:val="7DA93AA6"/>
    <w:rsid w:val="7DD1525C"/>
    <w:rsid w:val="7E054EE9"/>
    <w:rsid w:val="7E3609A0"/>
    <w:rsid w:val="7E43329E"/>
    <w:rsid w:val="7E451BB1"/>
    <w:rsid w:val="7E5108B6"/>
    <w:rsid w:val="7E7601BC"/>
    <w:rsid w:val="7E977B6F"/>
    <w:rsid w:val="7EAA03FA"/>
    <w:rsid w:val="7EC558C1"/>
    <w:rsid w:val="7EEC0140"/>
    <w:rsid w:val="7EEE282E"/>
    <w:rsid w:val="7EF35C7C"/>
    <w:rsid w:val="7EFA1D6D"/>
    <w:rsid w:val="7F292471"/>
    <w:rsid w:val="7F295341"/>
    <w:rsid w:val="7F3948C1"/>
    <w:rsid w:val="7F536C5C"/>
    <w:rsid w:val="7F6872E7"/>
    <w:rsid w:val="7F6B2173"/>
    <w:rsid w:val="7F732B4F"/>
    <w:rsid w:val="7F821D2F"/>
    <w:rsid w:val="7F833161"/>
    <w:rsid w:val="7F8A398A"/>
    <w:rsid w:val="7F905A42"/>
    <w:rsid w:val="7FA174FB"/>
    <w:rsid w:val="7FBC505F"/>
    <w:rsid w:val="7FD27270"/>
    <w:rsid w:val="7FE80B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Noto Sans Mono CJK JP Regular" w:hAnsi="Noto Sans Mono CJK JP Regular" w:eastAsia="Noto Sans Mono CJK JP Regular" w:cs="Noto Sans Mono CJK JP Regular"/>
      <w:kern w:val="0"/>
      <w:sz w:val="22"/>
      <w:szCs w:val="22"/>
      <w:lang w:val="en-US" w:eastAsia="en-US" w:bidi="ar-SA"/>
    </w:rPr>
  </w:style>
  <w:style w:type="paragraph" w:styleId="4">
    <w:name w:val="heading 2"/>
    <w:basedOn w:val="5"/>
    <w:next w:val="1"/>
    <w:link w:val="27"/>
    <w:qFormat/>
    <w:uiPriority w:val="0"/>
    <w:pPr>
      <w:keepNext/>
      <w:keepLines/>
      <w:spacing w:before="240" w:after="120" w:line="360" w:lineRule="auto"/>
      <w:outlineLvl w:val="1"/>
    </w:pPr>
    <w:rPr>
      <w:rFonts w:ascii="Times New Roman" w:hAnsi="Times New Roman" w:eastAsia="宋体"/>
      <w:sz w:val="28"/>
      <w:szCs w:val="28"/>
    </w:rPr>
  </w:style>
  <w:style w:type="paragraph" w:styleId="6">
    <w:name w:val="heading 3"/>
    <w:basedOn w:val="1"/>
    <w:next w:val="1"/>
    <w:link w:val="30"/>
    <w:semiHidden/>
    <w:unhideWhenUsed/>
    <w:qFormat/>
    <w:uiPriority w:val="9"/>
    <w:pPr>
      <w:keepNext/>
      <w:keepLines/>
      <w:spacing w:before="260" w:after="260" w:line="416" w:lineRule="auto"/>
      <w:outlineLvl w:val="2"/>
    </w:pPr>
    <w:rPr>
      <w:b/>
      <w:bCs/>
      <w:sz w:val="32"/>
      <w:szCs w:val="32"/>
    </w:rPr>
  </w:style>
  <w:style w:type="paragraph" w:styleId="7">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8">
    <w:name w:val="heading 7"/>
    <w:next w:val="1"/>
    <w:qFormat/>
    <w:uiPriority w:val="0"/>
    <w:pPr>
      <w:adjustRightInd w:val="0"/>
      <w:snapToGrid w:val="0"/>
      <w:spacing w:line="360" w:lineRule="auto"/>
      <w:jc w:val="center"/>
      <w:outlineLvl w:val="6"/>
    </w:pPr>
    <w:rPr>
      <w:rFonts w:ascii="Times New Roman" w:hAnsi="Times New Roman" w:eastAsia="宋体" w:cs="Times New Roman"/>
      <w:kern w:val="2"/>
      <w:sz w:val="21"/>
      <w:szCs w:val="24"/>
      <w:lang w:val="en-US" w:eastAsia="zh-CN" w:bidi="ar-SA"/>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0"/>
    <w:qFormat/>
    <w:uiPriority w:val="1"/>
    <w:rPr>
      <w:sz w:val="24"/>
      <w:szCs w:val="24"/>
    </w:rPr>
  </w:style>
  <w:style w:type="paragraph" w:customStyle="1" w:styleId="3">
    <w:name w:val="xl27"/>
    <w:basedOn w:val="1"/>
    <w:qFormat/>
    <w:uiPriority w:val="0"/>
    <w:pPr>
      <w:widowControl/>
      <w:spacing w:before="100" w:beforeAutospacing="1" w:after="100" w:afterAutospacing="1"/>
      <w:jc w:val="center"/>
    </w:pPr>
    <w:rPr>
      <w:rFonts w:hint="eastAsia" w:ascii="黑体" w:hAnsi="宋体" w:eastAsia="黑体"/>
      <w:kern w:val="0"/>
      <w:sz w:val="32"/>
      <w:szCs w:val="20"/>
    </w:rPr>
  </w:style>
  <w:style w:type="paragraph" w:styleId="5">
    <w:name w:val="Title"/>
    <w:basedOn w:val="1"/>
    <w:next w:val="1"/>
    <w:semiHidden/>
    <w:qFormat/>
    <w:uiPriority w:val="0"/>
    <w:pPr>
      <w:spacing w:before="240" w:after="60"/>
      <w:jc w:val="center"/>
      <w:outlineLvl w:val="0"/>
    </w:pPr>
    <w:rPr>
      <w:rFonts w:eastAsia="宋体" w:asciiTheme="majorHAnsi" w:hAnsiTheme="majorHAnsi" w:cstheme="majorBidi"/>
      <w:b/>
      <w:bCs/>
      <w:sz w:val="32"/>
      <w:szCs w:val="32"/>
    </w:rPr>
  </w:style>
  <w:style w:type="paragraph" w:styleId="9">
    <w:name w:val="annotation text"/>
    <w:basedOn w:val="1"/>
    <w:semiHidden/>
    <w:unhideWhenUsed/>
    <w:qFormat/>
    <w:uiPriority w:val="99"/>
    <w:pPr>
      <w:jc w:val="left"/>
    </w:pPr>
  </w:style>
  <w:style w:type="paragraph" w:styleId="10">
    <w:name w:val="Body Text Indent"/>
    <w:basedOn w:val="1"/>
    <w:qFormat/>
    <w:uiPriority w:val="0"/>
    <w:pPr>
      <w:spacing w:after="120"/>
      <w:ind w:left="420" w:leftChars="200"/>
    </w:pPr>
    <w:rPr>
      <w:rFonts w:ascii="Times New Roman" w:hAnsi="Times New Roman"/>
      <w:kern w:val="13"/>
      <w:sz w:val="24"/>
      <w:szCs w:val="24"/>
    </w:rPr>
  </w:style>
  <w:style w:type="paragraph" w:styleId="11">
    <w:name w:val="Balloon Text"/>
    <w:basedOn w:val="1"/>
    <w:link w:val="25"/>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pPr>
    <w:rPr>
      <w:sz w:val="18"/>
      <w:szCs w:val="18"/>
    </w:rPr>
  </w:style>
  <w:style w:type="paragraph" w:styleId="13">
    <w:name w:val="header"/>
    <w:basedOn w:val="1"/>
    <w:link w:val="21"/>
    <w:qFormat/>
    <w:uiPriority w:val="0"/>
    <w:pPr>
      <w:pBdr>
        <w:bottom w:val="single" w:color="auto" w:sz="6" w:space="1"/>
      </w:pBdr>
      <w:tabs>
        <w:tab w:val="center" w:pos="4153"/>
        <w:tab w:val="right" w:pos="8306"/>
      </w:tabs>
      <w:snapToGrid w:val="0"/>
      <w:ind w:firstLine="640"/>
      <w:jc w:val="center"/>
    </w:pPr>
    <w:rPr>
      <w:rFonts w:ascii="Times New Roman" w:hAnsi="Times New Roman" w:eastAsia="宋体"/>
      <w:sz w:val="18"/>
      <w:szCs w:val="18"/>
    </w:rPr>
  </w:style>
  <w:style w:type="paragraph" w:styleId="14">
    <w:name w:val="Body Text 2"/>
    <w:basedOn w:val="1"/>
    <w:link w:val="33"/>
    <w:semiHidden/>
    <w:unhideWhenUsed/>
    <w:qFormat/>
    <w:uiPriority w:val="99"/>
    <w:pPr>
      <w:spacing w:after="120" w:line="480" w:lineRule="auto"/>
    </w:pPr>
  </w:style>
  <w:style w:type="paragraph" w:styleId="15">
    <w:name w:val="Body Text First Indent"/>
    <w:basedOn w:val="2"/>
    <w:link w:val="28"/>
    <w:semiHidden/>
    <w:unhideWhenUsed/>
    <w:qFormat/>
    <w:uiPriority w:val="99"/>
    <w:pPr>
      <w:spacing w:after="120"/>
      <w:ind w:firstLine="420" w:firstLineChars="100"/>
    </w:pPr>
    <w:rPr>
      <w:sz w:val="22"/>
      <w:szCs w:val="22"/>
    </w:rPr>
  </w:style>
  <w:style w:type="table" w:styleId="17">
    <w:name w:val="Table Grid"/>
    <w:basedOn w:val="16"/>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9">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character" w:customStyle="1" w:styleId="20">
    <w:name w:val="正文文本 Char"/>
    <w:basedOn w:val="18"/>
    <w:link w:val="2"/>
    <w:qFormat/>
    <w:uiPriority w:val="1"/>
    <w:rPr>
      <w:rFonts w:ascii="Noto Sans Mono CJK JP Regular" w:hAnsi="Noto Sans Mono CJK JP Regular" w:eastAsia="Noto Sans Mono CJK JP Regular" w:cs="Noto Sans Mono CJK JP Regular"/>
      <w:kern w:val="0"/>
      <w:sz w:val="24"/>
      <w:szCs w:val="24"/>
      <w:lang w:eastAsia="en-US"/>
    </w:rPr>
  </w:style>
  <w:style w:type="character" w:customStyle="1" w:styleId="21">
    <w:name w:val="页眉 Char"/>
    <w:basedOn w:val="18"/>
    <w:link w:val="13"/>
    <w:qFormat/>
    <w:uiPriority w:val="0"/>
    <w:rPr>
      <w:rFonts w:ascii="Times New Roman" w:hAnsi="Times New Roman" w:eastAsia="宋体" w:cs="Noto Sans Mono CJK JP Regular"/>
      <w:kern w:val="0"/>
      <w:sz w:val="18"/>
      <w:szCs w:val="18"/>
      <w:lang w:eastAsia="en-US"/>
    </w:rPr>
  </w:style>
  <w:style w:type="paragraph" w:customStyle="1" w:styleId="22">
    <w:name w:val="四级条标题"/>
    <w:basedOn w:val="1"/>
    <w:next w:val="1"/>
    <w:qFormat/>
    <w:uiPriority w:val="0"/>
    <w:pPr>
      <w:widowControl/>
      <w:tabs>
        <w:tab w:val="left" w:pos="1260"/>
        <w:tab w:val="left" w:pos="1680"/>
      </w:tabs>
      <w:autoSpaceDE/>
      <w:autoSpaceDN/>
      <w:jc w:val="both"/>
      <w:outlineLvl w:val="5"/>
    </w:pPr>
    <w:rPr>
      <w:rFonts w:ascii="黑体" w:hAnsi="Times New Roman" w:eastAsia="黑体" w:cs="Times New Roman"/>
      <w:sz w:val="21"/>
      <w:szCs w:val="20"/>
      <w:lang w:eastAsia="zh-CN"/>
    </w:rPr>
  </w:style>
  <w:style w:type="paragraph" w:customStyle="1" w:styleId="23">
    <w:name w:val="Table Paragraph"/>
    <w:basedOn w:val="1"/>
    <w:qFormat/>
    <w:uiPriority w:val="1"/>
    <w:pPr>
      <w:jc w:val="center"/>
    </w:pPr>
  </w:style>
  <w:style w:type="paragraph" w:customStyle="1" w:styleId="24">
    <w:name w:val="表格"/>
    <w:basedOn w:val="1"/>
    <w:next w:val="1"/>
    <w:qFormat/>
    <w:uiPriority w:val="0"/>
    <w:pPr>
      <w:jc w:val="center"/>
    </w:pPr>
    <w:rPr>
      <w:rFonts w:ascii="Times New Roman" w:hAnsi="Times New Roman"/>
      <w:sz w:val="21"/>
      <w:szCs w:val="21"/>
    </w:rPr>
  </w:style>
  <w:style w:type="character" w:customStyle="1" w:styleId="25">
    <w:name w:val="批注框文本 Char"/>
    <w:basedOn w:val="18"/>
    <w:link w:val="11"/>
    <w:semiHidden/>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26">
    <w:name w:val="页脚 Char"/>
    <w:basedOn w:val="18"/>
    <w:link w:val="12"/>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27">
    <w:name w:val="标题 2 Char"/>
    <w:basedOn w:val="18"/>
    <w:link w:val="4"/>
    <w:qFormat/>
    <w:uiPriority w:val="0"/>
    <w:rPr>
      <w:rFonts w:ascii="Times New Roman" w:hAnsi="Times New Roman" w:eastAsia="宋体" w:cs="Noto Sans Mono CJK JP Regular"/>
      <w:b/>
      <w:kern w:val="0"/>
      <w:sz w:val="28"/>
      <w:szCs w:val="28"/>
      <w:lang w:eastAsia="en-US"/>
    </w:rPr>
  </w:style>
  <w:style w:type="character" w:customStyle="1" w:styleId="28">
    <w:name w:val="正文首行缩进 Char"/>
    <w:basedOn w:val="20"/>
    <w:link w:val="15"/>
    <w:semiHidden/>
    <w:qFormat/>
    <w:uiPriority w:val="99"/>
    <w:rPr>
      <w:rFonts w:ascii="Noto Sans Mono CJK JP Regular" w:hAnsi="Noto Sans Mono CJK JP Regular" w:eastAsia="Noto Sans Mono CJK JP Regular" w:cs="Noto Sans Mono CJK JP Regular"/>
      <w:kern w:val="0"/>
      <w:sz w:val="22"/>
      <w:szCs w:val="24"/>
      <w:lang w:eastAsia="en-US"/>
    </w:rPr>
  </w:style>
  <w:style w:type="paragraph" w:customStyle="1" w:styleId="29">
    <w:name w:val="报告书正文 Char Char Char"/>
    <w:basedOn w:val="1"/>
    <w:qFormat/>
    <w:uiPriority w:val="0"/>
    <w:pPr>
      <w:autoSpaceDE/>
      <w:autoSpaceDN/>
      <w:adjustRightInd w:val="0"/>
      <w:spacing w:line="300" w:lineRule="auto"/>
      <w:ind w:firstLine="480" w:firstLineChars="200"/>
      <w:jc w:val="both"/>
      <w:textAlignment w:val="baseline"/>
    </w:pPr>
    <w:rPr>
      <w:rFonts w:ascii="宋体" w:hAnsi="宋体" w:eastAsia="宋体" w:cs="Times New Roman"/>
      <w:sz w:val="24"/>
      <w:szCs w:val="20"/>
      <w:lang w:eastAsia="zh-CN"/>
    </w:rPr>
  </w:style>
  <w:style w:type="character" w:customStyle="1" w:styleId="30">
    <w:name w:val="标题 3 Char"/>
    <w:basedOn w:val="18"/>
    <w:link w:val="6"/>
    <w:semiHidden/>
    <w:qFormat/>
    <w:uiPriority w:val="9"/>
    <w:rPr>
      <w:rFonts w:ascii="Noto Sans Mono CJK JP Regular" w:hAnsi="Noto Sans Mono CJK JP Regular" w:eastAsia="Noto Sans Mono CJK JP Regular" w:cs="Noto Sans Mono CJK JP Regular"/>
      <w:b/>
      <w:bCs/>
      <w:kern w:val="0"/>
      <w:sz w:val="32"/>
      <w:szCs w:val="32"/>
      <w:lang w:eastAsia="en-US"/>
    </w:rPr>
  </w:style>
  <w:style w:type="character" w:customStyle="1" w:styleId="31">
    <w:name w:val="font31"/>
    <w:basedOn w:val="18"/>
    <w:qFormat/>
    <w:uiPriority w:val="0"/>
    <w:rPr>
      <w:rFonts w:ascii="Times New Roman" w:hAnsi="Times New Roman" w:cs="Times New Roman"/>
      <w:color w:val="000000"/>
      <w:sz w:val="20"/>
      <w:szCs w:val="20"/>
      <w:u w:val="none"/>
      <w:lang w:bidi="ar-SA"/>
    </w:rPr>
  </w:style>
  <w:style w:type="paragraph" w:customStyle="1" w:styleId="32">
    <w:name w:val="1"/>
    <w:basedOn w:val="1"/>
    <w:next w:val="14"/>
    <w:qFormat/>
    <w:uiPriority w:val="0"/>
    <w:pPr>
      <w:tabs>
        <w:tab w:val="left" w:pos="10980"/>
      </w:tabs>
      <w:autoSpaceDE/>
      <w:autoSpaceDN/>
      <w:jc w:val="both"/>
    </w:pPr>
    <w:rPr>
      <w:rFonts w:ascii="宋体" w:hAnsi="Times New Roman" w:eastAsia="宋体" w:cs="宋体"/>
      <w:kern w:val="2"/>
      <w:sz w:val="24"/>
      <w:szCs w:val="24"/>
      <w:lang w:eastAsia="zh-CN"/>
    </w:rPr>
  </w:style>
  <w:style w:type="character" w:customStyle="1" w:styleId="33">
    <w:name w:val="正文文本 2 Char"/>
    <w:basedOn w:val="18"/>
    <w:link w:val="14"/>
    <w:semiHidden/>
    <w:qFormat/>
    <w:uiPriority w:val="99"/>
    <w:rPr>
      <w:rFonts w:ascii="Noto Sans Mono CJK JP Regular" w:hAnsi="Noto Sans Mono CJK JP Regular" w:eastAsia="Noto Sans Mono CJK JP Regular" w:cs="Noto Sans Mono CJK JP Regular"/>
      <w:kern w:val="0"/>
      <w:sz w:val="22"/>
      <w:lang w:eastAsia="en-US"/>
    </w:rPr>
  </w:style>
  <w:style w:type="paragraph" w:customStyle="1" w:styleId="34">
    <w:name w:val="样式3"/>
    <w:basedOn w:val="1"/>
    <w:qFormat/>
    <w:uiPriority w:val="0"/>
    <w:pPr>
      <w:autoSpaceDE/>
      <w:autoSpaceDN/>
      <w:jc w:val="center"/>
    </w:pPr>
    <w:rPr>
      <w:rFonts w:ascii="Times New Roman" w:hAnsi="Times New Roman" w:eastAsia="黑体" w:cs="Times New Roman"/>
      <w:kern w:val="2"/>
      <w:sz w:val="44"/>
      <w:szCs w:val="24"/>
      <w:lang w:eastAsia="zh-CN"/>
    </w:rPr>
  </w:style>
  <w:style w:type="paragraph" w:customStyle="1" w:styleId="35">
    <w:name w:val="普通(网站)1"/>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36">
    <w:name w:val="列出段落1"/>
    <w:basedOn w:val="1"/>
    <w:qFormat/>
    <w:uiPriority w:val="0"/>
    <w:pPr>
      <w:autoSpaceDE/>
      <w:autoSpaceDN/>
      <w:ind w:firstLine="420" w:firstLineChars="200"/>
      <w:jc w:val="both"/>
    </w:pPr>
    <w:rPr>
      <w:rFonts w:ascii="Calibri" w:hAnsi="Calibri" w:eastAsia="宋体" w:cs="Times New Roman"/>
      <w:kern w:val="2"/>
      <w:sz w:val="21"/>
      <w:szCs w:val="21"/>
      <w:lang w:eastAsia="zh-CN"/>
    </w:rPr>
  </w:style>
  <w:style w:type="paragraph" w:customStyle="1" w:styleId="37">
    <w:name w:val="表格RED报告书"/>
    <w:basedOn w:val="1"/>
    <w:qFormat/>
    <w:uiPriority w:val="0"/>
    <w:pPr>
      <w:adjustRightInd/>
      <w:snapToGrid/>
      <w:spacing w:before="0" w:beforeAutospacing="0" w:after="0" w:line="276" w:lineRule="auto"/>
      <w:jc w:val="center"/>
    </w:pPr>
    <w:rPr>
      <w:rFonts w:ascii="仿宋" w:hAnsi="仿宋" w:eastAsia="仿宋" w:cstheme="minorBidi"/>
      <w:sz w:val="18"/>
      <w:szCs w:val="21"/>
    </w:rPr>
  </w:style>
  <w:style w:type="table" w:customStyle="1" w:styleId="38">
    <w:name w:val="网格型1"/>
    <w:basedOn w:val="16"/>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9">
    <w:name w:val="真宗兴正文"/>
    <w:basedOn w:val="1"/>
    <w:qFormat/>
    <w:uiPriority w:val="0"/>
    <w:pPr>
      <w:widowControl w:val="0"/>
      <w:overflowPunct w:val="0"/>
      <w:autoSpaceDE w:val="0"/>
      <w:autoSpaceDN w:val="0"/>
      <w:spacing w:beforeLines="30" w:beforeAutospacing="0" w:afterLines="30" w:line="360" w:lineRule="auto"/>
      <w:ind w:firstLine="480" w:firstLineChars="200"/>
      <w:jc w:val="both"/>
      <w:textAlignment w:val="baseline"/>
    </w:pPr>
    <w:rPr>
      <w:rFonts w:ascii="Times New Roman" w:hAnsi="Times New Roman" w:eastAsia="宋体"/>
      <w:kern w:val="2"/>
      <w:sz w:val="24"/>
      <w:szCs w:val="20"/>
    </w:rPr>
  </w:style>
  <w:style w:type="paragraph" w:customStyle="1" w:styleId="40">
    <w:name w:val="表字体"/>
    <w:basedOn w:val="1"/>
    <w:next w:val="1"/>
    <w:qFormat/>
    <w:uiPriority w:val="0"/>
    <w:pPr>
      <w:jc w:val="center"/>
    </w:pPr>
    <w:rPr>
      <w:rFonts w:eastAsia="宋体"/>
      <w:kern w:val="0"/>
      <w:sz w:val="21"/>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8.png"/><Relationship Id="rId26" Type="http://schemas.openxmlformats.org/officeDocument/2006/relationships/image" Target="media/image17.jpeg"/><Relationship Id="rId25" Type="http://schemas.openxmlformats.org/officeDocument/2006/relationships/image" Target="media/image16.jpeg"/><Relationship Id="rId24" Type="http://schemas.openxmlformats.org/officeDocument/2006/relationships/image" Target="media/image15.jpeg"/><Relationship Id="rId23" Type="http://schemas.openxmlformats.org/officeDocument/2006/relationships/image" Target="media/image14.jpeg"/><Relationship Id="rId22" Type="http://schemas.openxmlformats.org/officeDocument/2006/relationships/image" Target="media/image13.jpeg"/><Relationship Id="rId21" Type="http://schemas.openxmlformats.org/officeDocument/2006/relationships/image" Target="media/image12.jpe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4207</Words>
  <Characters>23983</Characters>
  <Lines>1</Lines>
  <Paragraphs>1</Paragraphs>
  <TotalTime>4</TotalTime>
  <ScaleCrop>false</ScaleCrop>
  <LinksUpToDate>false</LinksUpToDate>
  <CharactersWithSpaces>28134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2020-01-10T09:43:00Z</dcterms:created>
  <dc:creator>li</dc:creator>
  <cp:lastModifiedBy>朗宝MM</cp:lastModifiedBy>
  <dcterms:modified xsi:type="dcterms:W3CDTF">2021-03-29T03:12:29Z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